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126" w:rsidRPr="00354126" w:rsidRDefault="00354126" w:rsidP="00354126">
      <w:pPr>
        <w:widowControl/>
        <w:suppressAutoHyphens w:val="0"/>
        <w:autoSpaceDN/>
        <w:spacing w:line="360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WYDZIAŁ NAUK SPOŁECZNYCH</w:t>
      </w: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br/>
        <w:t xml:space="preserve">kierunek </w:t>
      </w:r>
      <w:r w:rsidRPr="00354126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lang w:eastAsia="pl-PL" w:bidi="ar-SA"/>
        </w:rPr>
        <w:t xml:space="preserve">PSYCHOLOGIA </w:t>
      </w:r>
    </w:p>
    <w:p w:rsidR="00354126" w:rsidRPr="00354126" w:rsidRDefault="00354126" w:rsidP="00354126">
      <w:pPr>
        <w:widowControl/>
        <w:suppressAutoHyphens w:val="0"/>
        <w:autoSpaceDN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studia jednolite magisterskie</w:t>
      </w:r>
    </w:p>
    <w:p w:rsidR="00354126" w:rsidRPr="00354126" w:rsidRDefault="00354126" w:rsidP="00354126">
      <w:pPr>
        <w:widowControl/>
        <w:suppressAutoHyphens w:val="0"/>
        <w:autoSpaceDN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o profilu praktycznym</w:t>
      </w:r>
    </w:p>
    <w:p w:rsidR="00354126" w:rsidRPr="00354126" w:rsidRDefault="00354126" w:rsidP="00354126">
      <w:pPr>
        <w:widowControl/>
        <w:tabs>
          <w:tab w:val="left" w:pos="7836"/>
        </w:tabs>
        <w:suppressAutoHyphens w:val="0"/>
        <w:autoSpaceDN/>
        <w:spacing w:line="276" w:lineRule="auto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</w:p>
    <w:p w:rsidR="00354126" w:rsidRPr="00354126" w:rsidRDefault="00354126" w:rsidP="00354126">
      <w:pPr>
        <w:widowControl/>
        <w:suppressAutoHyphens w:val="0"/>
        <w:autoSpaceDN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HARMONOGRAM SZCZEGÓŁOWYCH TREŚCI PROGRAMOWYCH</w:t>
      </w:r>
    </w:p>
    <w:p w:rsidR="00354126" w:rsidRPr="00354126" w:rsidRDefault="00354126" w:rsidP="00354126">
      <w:pPr>
        <w:widowControl/>
        <w:suppressAutoHyphens w:val="0"/>
        <w:autoSpaceDN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54126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 POZWALAJĄCYCH NA UZYSKANIE  EFEKTÓW UCZENIA SIĘ</w:t>
      </w:r>
    </w:p>
    <w:p w:rsidR="00147ADB" w:rsidRPr="00354126" w:rsidRDefault="00147ADB" w:rsidP="00147ADB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354126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56"/>
      </w:tblGrid>
      <w:tr w:rsidR="00147ADB" w:rsidRPr="00354126" w:rsidTr="00752D3E">
        <w:trPr>
          <w:trHeight w:val="856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2850B2" w:rsidRDefault="00147ADB" w:rsidP="00752D3E">
            <w:pPr>
              <w:pStyle w:val="Standard"/>
              <w:rPr>
                <w:rFonts w:asciiTheme="minorHAnsi" w:hAnsiTheme="minorHAnsi" w:cstheme="minorHAnsi"/>
                <w:sz w:val="28"/>
                <w:szCs w:val="28"/>
              </w:rPr>
            </w:pPr>
            <w:r w:rsidRPr="002850B2">
              <w:rPr>
                <w:rFonts w:asciiTheme="minorHAnsi" w:hAnsiTheme="minorHAnsi" w:cstheme="minorHAnsi"/>
                <w:sz w:val="28"/>
                <w:szCs w:val="28"/>
              </w:rPr>
              <w:t xml:space="preserve">Nazwa przedmiotu: </w:t>
            </w:r>
            <w:r w:rsidRPr="002850B2">
              <w:rPr>
                <w:rFonts w:asciiTheme="minorHAnsi" w:hAnsiTheme="minorHAnsi" w:cstheme="minorHAnsi"/>
                <w:b/>
                <w:sz w:val="28"/>
                <w:szCs w:val="28"/>
              </w:rPr>
              <w:t>Prawno-etyczno-formalne aspekty pomocy psychologicznej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ADB" w:rsidRPr="00354126" w:rsidTr="00752D3E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Kod przedmiotu:</w:t>
            </w:r>
            <w:r w:rsidR="00354126">
              <w:rPr>
                <w:rFonts w:hint="eastAsia"/>
              </w:rPr>
              <w:t xml:space="preserve"> </w:t>
            </w:r>
            <w:r w:rsidR="00354126">
              <w:rPr>
                <w:rFonts w:asciiTheme="minorHAnsi" w:hAnsiTheme="minorHAnsi" w:cstheme="minorHAnsi" w:hint="eastAsia"/>
                <w:b/>
                <w:bCs/>
                <w:sz w:val="22"/>
                <w:szCs w:val="22"/>
              </w:rPr>
              <w:t>PSYCH-JSM_V_</w:t>
            </w:r>
            <w:r w:rsid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354126">
              <w:rPr>
                <w:rFonts w:asciiTheme="minorHAnsi" w:hAnsiTheme="minorHAnsi" w:cstheme="minorHAnsi" w:hint="eastAsia"/>
                <w:b/>
                <w:bCs/>
                <w:sz w:val="22"/>
                <w:szCs w:val="22"/>
              </w:rPr>
              <w:t>_</w:t>
            </w:r>
            <w:r w:rsid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4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147ADB" w:rsidRPr="00354126" w:rsidTr="00752D3E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354126" w:rsidRPr="00354126" w:rsidTr="00752D3E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4. Grupa zajęć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specjalistycznych zawodowych (do wyboru)</w:t>
            </w:r>
          </w:p>
          <w:p w:rsidR="00354126" w:rsidRPr="00354126" w:rsidRDefault="00354126" w:rsidP="00752D3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354126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147ADB" w:rsidRPr="00354126" w:rsidTr="00752D3E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147ADB" w:rsidRPr="00354126" w:rsidTr="00752D3E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Jednolite Studia Magisterskie </w:t>
            </w:r>
          </w:p>
        </w:tc>
      </w:tr>
      <w:tr w:rsidR="00147ADB" w:rsidRPr="00354126" w:rsidTr="00752D3E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ADB" w:rsidRPr="00354126" w:rsidTr="00752D3E">
        <w:trPr>
          <w:cantSplit/>
          <w:trHeight w:val="144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850B2" w:rsidRDefault="00354126" w:rsidP="00354126">
            <w:pPr>
              <w:widowControl/>
              <w:shd w:val="clear" w:color="auto" w:fill="C0C0C0"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354126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Osoba prowadząca</w:t>
            </w:r>
            <w:r w:rsidRPr="0035412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  <w:t xml:space="preserve"> (imię nazwisko, tytuł/stopień naukowy): </w:t>
            </w:r>
          </w:p>
          <w:p w:rsidR="00147ADB" w:rsidRPr="002850B2" w:rsidRDefault="00147ADB" w:rsidP="00354126">
            <w:pPr>
              <w:widowControl/>
              <w:shd w:val="clear" w:color="auto" w:fill="C0C0C0"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  <w:r w:rsidRPr="002850B2">
              <w:rPr>
                <w:rFonts w:asciiTheme="minorHAnsi" w:hAnsiTheme="minorHAnsi" w:cstheme="minorHAnsi"/>
              </w:rPr>
              <w:t xml:space="preserve">Magdalena Bilińska, magister, 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47ADB" w:rsidRPr="00354126" w:rsidTr="00752D3E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Zaliczenie na ocenę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54126">
        <w:rPr>
          <w:rFonts w:asciiTheme="minorHAnsi" w:hAnsiTheme="minorHAnsi" w:cstheme="minorHAnsi"/>
          <w:b/>
          <w:sz w:val="22"/>
          <w:szCs w:val="22"/>
          <w:u w:val="single"/>
        </w:rPr>
        <w:t>Informacje szczegółowe</w:t>
      </w: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9299"/>
      </w:tblGrid>
      <w:tr w:rsidR="00147ADB" w:rsidRPr="00354126" w:rsidTr="00752D3E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1.Cele </w:t>
            </w:r>
            <w:r w:rsid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zajęć:</w:t>
            </w: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47ADB" w:rsidRPr="00354126" w:rsidTr="00752D3E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Wykazuje się znajomością aktów prawnych dotyczących wykonywania zawodu psychologa w aspekcie pomocy psychologicznej.</w:t>
            </w:r>
          </w:p>
        </w:tc>
      </w:tr>
      <w:tr w:rsidR="00147ADB" w:rsidRPr="00354126" w:rsidTr="00752D3E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Potrafi wyszukiwać akty prawne i ich interpretacje w zakresie  niesienia pomocy psychologicznej.</w:t>
            </w:r>
          </w:p>
        </w:tc>
      </w:tr>
      <w:tr w:rsidR="00147ADB" w:rsidRPr="00354126" w:rsidTr="00752D3E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Ma świadomość odpowiedzialności prawnej w zawodzie psychologa (zawodowa, cywilna, prawna).</w:t>
            </w:r>
          </w:p>
        </w:tc>
      </w:tr>
      <w:tr w:rsidR="00147ADB" w:rsidRPr="00354126" w:rsidTr="00752D3E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Rozumie konieczność zachowania tajemnicy zawodowej w zakresie niesienia pomocy psychologicznej.</w:t>
            </w:r>
          </w:p>
        </w:tc>
      </w:tr>
      <w:tr w:rsidR="00147ADB" w:rsidRPr="00354126" w:rsidTr="00752D3E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Potrafi wskazać na wiodące zasady etyczne pracy psychologa w pracy z pacjentem.</w:t>
            </w:r>
          </w:p>
        </w:tc>
      </w:tr>
      <w:tr w:rsidR="00147ADB" w:rsidRPr="00354126" w:rsidTr="00752D3E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C 6.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2850B2" w:rsidRDefault="00147ADB" w:rsidP="00354126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Potrafi stworzyć, przechowywać, archiwizować dokumentację gromadzoną w kontakcie z pacjentem.</w:t>
            </w: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9"/>
      </w:tblGrid>
      <w:tr w:rsidR="00147ADB" w:rsidRPr="00354126" w:rsidTr="00752D3E"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3541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147ADB" w:rsidRPr="00354126" w:rsidRDefault="00147ADB" w:rsidP="00752D3E">
            <w:pPr>
              <w:pStyle w:val="Standard"/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ADB" w:rsidRPr="00354126" w:rsidTr="00752D3E"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354126" w:rsidRDefault="002850B2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-</w:t>
            </w: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61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4"/>
        <w:gridCol w:w="4838"/>
        <w:gridCol w:w="1671"/>
        <w:gridCol w:w="251"/>
        <w:gridCol w:w="1447"/>
      </w:tblGrid>
      <w:tr w:rsidR="00354126" w:rsidRPr="000B4A80" w:rsidTr="00752D3E">
        <w:trPr>
          <w:trHeight w:val="732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4126" w:rsidRPr="000B4A80" w:rsidRDefault="00354126" w:rsidP="00752D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354126" w:rsidRPr="000B4A80" w:rsidTr="00752D3E">
        <w:trPr>
          <w:trHeight w:val="269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4126" w:rsidRPr="000B4A80" w:rsidTr="00752D3E">
        <w:trPr>
          <w:trHeight w:val="269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354126" w:rsidRPr="000B4A80" w:rsidTr="00752D3E">
        <w:trPr>
          <w:trHeight w:val="269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354126" w:rsidRPr="000B4A80" w:rsidTr="00752D3E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</w:tr>
      <w:tr w:rsidR="00354126" w:rsidRPr="000B4A80" w:rsidTr="008D1DA5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K7_WK12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Zna podstawowe akty prawne obowiązujące w pracy psychologa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dyskusja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1, C 2</w:t>
            </w:r>
          </w:p>
        </w:tc>
      </w:tr>
      <w:tr w:rsidR="00354126" w:rsidRPr="000B4A80" w:rsidTr="008D1DA5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K7_WG11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Posiada wiedzę z zakresu  ustawy o zawodzie psychologa, kodeksu etycznego psychologa oraz kodeksu etycznego psychoterapeutów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dyskusja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3, C4</w:t>
            </w:r>
          </w:p>
        </w:tc>
      </w:tr>
      <w:tr w:rsidR="00354126" w:rsidRPr="000B4A80" w:rsidTr="008D1DA5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K7_WG11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Zna i rozumie zasady etyczne obowiązujące w zawodzie psychologa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dyskusja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5</w:t>
            </w:r>
          </w:p>
        </w:tc>
      </w:tr>
      <w:tr w:rsidR="00354126" w:rsidRPr="000B4A80" w:rsidTr="008D1DA5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K7_WK12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Zna i rozumie przepisy prawne w pracy psychologa w placówkach medycznych,  poradniach psychologicznych i własnej pracy terapeutycznej.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dyskusja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1, C 6</w:t>
            </w:r>
          </w:p>
        </w:tc>
      </w:tr>
      <w:tr w:rsidR="00147ADB" w:rsidRPr="000B4A80" w:rsidTr="00752D3E">
        <w:trPr>
          <w:trHeight w:val="30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0B4A80" w:rsidRDefault="00147ADB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00FF00"/>
              </w:rPr>
            </w:pPr>
          </w:p>
        </w:tc>
      </w:tr>
      <w:tr w:rsidR="00147ADB" w:rsidRPr="000B4A80" w:rsidTr="00752D3E">
        <w:trPr>
          <w:trHeight w:val="42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B4A80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zakresie umiejętności</w:t>
            </w:r>
          </w:p>
        </w:tc>
      </w:tr>
      <w:tr w:rsidR="00147ADB" w:rsidRPr="000B4A80" w:rsidTr="00752D3E">
        <w:trPr>
          <w:trHeight w:val="42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B4A80" w:rsidRDefault="00147ADB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00FF00"/>
              </w:rPr>
            </w:pPr>
          </w:p>
        </w:tc>
      </w:tr>
      <w:tr w:rsidR="00354126" w:rsidRPr="000B4A80" w:rsidTr="00752D3E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354126" w:rsidRPr="000B4A80" w:rsidTr="00752D3E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K7_UW02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Potrafi wyszukiwać akty prawne, przepisy prawa i ich i</w:t>
            </w:r>
            <w:r w:rsidR="002850B2">
              <w:rPr>
                <w:rFonts w:asciiTheme="minorHAnsi" w:hAnsiTheme="minorHAnsi" w:cstheme="minorHAnsi"/>
                <w:b/>
                <w:sz w:val="22"/>
                <w:szCs w:val="22"/>
              </w:rPr>
              <w:t>nterpretację (ustawy, kodeksy, I</w:t>
            </w: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nternet).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dyskusja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2</w:t>
            </w:r>
          </w:p>
        </w:tc>
      </w:tr>
      <w:tr w:rsidR="00354126" w:rsidRPr="000B4A80" w:rsidTr="00752D3E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K7_UW02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Potrafi prawidłowo wykorzystać w praktyce psychologicznej poszczególne zapisy ustawy o zawodzie psychologa, kodeksy etycznego i ustawie o zdrowiu psychicznym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praca pisemna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 1, C2</w:t>
            </w:r>
          </w:p>
        </w:tc>
      </w:tr>
      <w:tr w:rsidR="00354126" w:rsidRPr="000B4A80" w:rsidTr="00752D3E">
        <w:trPr>
          <w:trHeight w:val="345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K7_UK06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Potrafi wskazać i rozstrzygać dylematy etyczne i moralne.</w:t>
            </w:r>
          </w:p>
          <w:p w:rsidR="00354126" w:rsidRPr="000B4A80" w:rsidRDefault="003541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wystąpienie ustne, obserwacja, praca pisemna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4, C 5</w:t>
            </w:r>
          </w:p>
        </w:tc>
      </w:tr>
      <w:tr w:rsidR="00354126" w:rsidRPr="000B4A80" w:rsidTr="004236E9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K7_UO08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4126" w:rsidRPr="000B4A80" w:rsidRDefault="00354126" w:rsidP="00752D3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Potrafi zaplanować, przygotować i przeprowadzić badania empiryczne oraz dokonać analizy statystycznej i interpretacji uzyskanych wyników </w:t>
            </w:r>
            <w:r w:rsidRPr="000B4A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badań. Potrafi dokonać operacjonalizacji zmiennych oraz umie zastosować i zinterpretować narzędzia statystyczne.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wystąpienie ustne, obserwacja, </w:t>
            </w:r>
            <w:r w:rsidRPr="000B4A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praca pisemna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4126" w:rsidRPr="000B4A80" w:rsidRDefault="003541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6</w:t>
            </w:r>
          </w:p>
        </w:tc>
      </w:tr>
      <w:tr w:rsidR="00147ADB" w:rsidRPr="000B4A80" w:rsidTr="00752D3E">
        <w:trPr>
          <w:trHeight w:val="42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0B4A80" w:rsidRDefault="00147ADB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W zakresie kompetencji społecznych</w:t>
            </w:r>
          </w:p>
        </w:tc>
      </w:tr>
      <w:tr w:rsidR="00147ADB" w:rsidRPr="000B4A80" w:rsidTr="00752D3E">
        <w:trPr>
          <w:trHeight w:val="42"/>
        </w:trPr>
        <w:tc>
          <w:tcPr>
            <w:tcW w:w="10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B4A80" w:rsidRDefault="00147ADB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shd w:val="clear" w:color="auto" w:fill="00FF00"/>
              </w:rPr>
            </w:pPr>
          </w:p>
        </w:tc>
      </w:tr>
      <w:tr w:rsidR="00B56226" w:rsidRPr="000B4A80" w:rsidTr="00752D3E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56226" w:rsidRPr="000B4A80" w:rsidTr="00380C81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K7_KK01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Jest gotowy do podejmowania wyzwań zawodowych: angażuje się we współpracę  i okazuje dbałość o prestiż związany z wykonywaniem zawodu, dba o swoje kształcenie.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1, C 2, C 6</w:t>
            </w:r>
          </w:p>
        </w:tc>
      </w:tr>
      <w:tr w:rsidR="00B56226" w:rsidRPr="000B4A80" w:rsidTr="00380C81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K7_KK02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Podejmuje refleksję na tematy związane z etyką działania , prawidłowo identyfikuje problemy etyczne i dylematy moralne związane z własną i cudza pracą w zakresie niesienia pomocy psychologicznej.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0B4A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3, C 4</w:t>
            </w:r>
          </w:p>
        </w:tc>
      </w:tr>
      <w:tr w:rsidR="00B56226" w:rsidRPr="000B4A80" w:rsidTr="00380C81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0B4A80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K7_KR09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Potrafi i rozumie potrzebę dbania o  prawo do prywatności , poufności, szacunku i godności ludzkiej.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0B4A80" w:rsidRDefault="00B56226" w:rsidP="00752D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6226" w:rsidRPr="000B4A80" w:rsidRDefault="00B56226" w:rsidP="00752D3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b/>
                <w:sz w:val="22"/>
                <w:szCs w:val="22"/>
              </w:rPr>
              <w:t>C 4, C 5</w:t>
            </w: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78"/>
      </w:tblGrid>
      <w:tr w:rsidR="00147ADB" w:rsidRPr="00354126" w:rsidTr="00752D3E">
        <w:tc>
          <w:tcPr>
            <w:tcW w:w="10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Treści  programowe</w:t>
            </w:r>
            <w:r w:rsidRPr="003541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147ADB" w:rsidRPr="00354126" w:rsidRDefault="00147ADB" w:rsidP="00752D3E">
            <w:pPr>
              <w:pStyle w:val="Standard"/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6226" w:rsidRPr="00354126" w:rsidTr="00752D3E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596AE9" w:rsidRDefault="00B56226" w:rsidP="00752D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596AE9" w:rsidRDefault="00B56226" w:rsidP="00752D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56226" w:rsidRPr="00596AE9" w:rsidRDefault="00B56226" w:rsidP="00752D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B56226" w:rsidRPr="00596AE9" w:rsidRDefault="00B56226" w:rsidP="00752D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56226" w:rsidRPr="00354126" w:rsidRDefault="00B56226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kształcenia-</w:t>
            </w:r>
          </w:p>
          <w:p w:rsidR="00B56226" w:rsidRPr="00354126" w:rsidRDefault="00B56226" w:rsidP="00752D3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</w:tc>
      </w:tr>
      <w:tr w:rsidR="00147ADB" w:rsidRPr="00354126" w:rsidTr="00752D3E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</w:p>
          <w:p w:rsidR="00B56226" w:rsidRPr="00354126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2850B2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sz w:val="22"/>
                <w:szCs w:val="22"/>
              </w:rPr>
              <w:t>Podstawowe akty prawne dotyczące pracy psychologa i ich interpretacja: Ustawa o zawodzie psychologa, kodeks etyczno – zawodowy psychologa i kodeks etyczny psychoterapeuty.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K7_WG11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K7_KK01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</w:p>
        </w:tc>
      </w:tr>
      <w:tr w:rsidR="00147ADB" w:rsidRPr="00354126" w:rsidTr="00752D3E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</w:p>
          <w:p w:rsidR="00B56226" w:rsidRPr="00354126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2850B2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sz w:val="22"/>
                <w:szCs w:val="22"/>
              </w:rPr>
              <w:t>Inne akty prawne obowiązujące w pracy psychologa  a szczególnie w zakresie niesienia pomocy psychologicznej i zachowania tajemnicy zawodowej: Kodeks Karny, Kodeks Postępowania Administracyjnego, Ustawa o prawach pacjenta , Ustawa o  ochronie zdrowia psychicznego, Ustawa o przeciwdziałaniu przemocy psychologicznej.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K7_WG11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K7_WK12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K7_KK01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</w:p>
        </w:tc>
      </w:tr>
      <w:tr w:rsidR="00147ADB" w:rsidRPr="00354126" w:rsidTr="00752D3E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</w:p>
          <w:p w:rsidR="00B56226" w:rsidRPr="00354126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2850B2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sz w:val="22"/>
                <w:szCs w:val="22"/>
              </w:rPr>
              <w:t>Omówienie sposobów wyszukiwania przepisów prawnych i ich zróżnicowanie ze względu na sposoby niesienia pomocy psychologicznej.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K7_UW02</w:t>
            </w:r>
          </w:p>
        </w:tc>
      </w:tr>
      <w:tr w:rsidR="00147ADB" w:rsidRPr="00354126" w:rsidTr="00752D3E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</w:p>
          <w:p w:rsidR="00B56226" w:rsidRPr="00354126" w:rsidRDefault="00B56226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2850B2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sz w:val="22"/>
                <w:szCs w:val="22"/>
              </w:rPr>
              <w:t>Dylematy moralne i problemy etyczne przy niesieniu pomocy psychologicznej: zachowanie tajemnicy zawodowej, prawa pacjenta/klienta, prawa i obowiązki psychologa.</w:t>
            </w:r>
          </w:p>
          <w:p w:rsidR="00147ADB" w:rsidRPr="002850B2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K7_UK06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K7_KK02</w:t>
            </w:r>
          </w:p>
          <w:p w:rsidR="00147ADB" w:rsidRPr="00B56226" w:rsidRDefault="00147ADB" w:rsidP="00752D3E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</w:pPr>
            <w:r w:rsidRPr="00B56226">
              <w:rPr>
                <w:rFonts w:asciiTheme="minorHAnsi" w:eastAsia="Calibri" w:hAnsiTheme="minorHAnsi" w:cstheme="minorHAnsi"/>
                <w:b/>
                <w:i/>
                <w:kern w:val="0"/>
                <w:sz w:val="22"/>
                <w:szCs w:val="22"/>
                <w:highlight w:val="lightGray"/>
                <w:shd w:val="clear" w:color="auto" w:fill="00FF00"/>
                <w:lang w:eastAsia="en-US"/>
              </w:rPr>
              <w:t>K7_KR09</w:t>
            </w: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9"/>
      </w:tblGrid>
      <w:tr w:rsidR="00147ADB" w:rsidRPr="00354126" w:rsidTr="00752D3E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147ADB" w:rsidRPr="00354126" w:rsidTr="00752D3E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47ADB" w:rsidRPr="002850B2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zaliczenie na ocenę</w:t>
            </w:r>
          </w:p>
          <w:bookmarkEnd w:id="0"/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9"/>
      </w:tblGrid>
      <w:tr w:rsidR="00147ADB" w:rsidRPr="00354126" w:rsidTr="00752D3E">
        <w:trPr>
          <w:trHeight w:val="112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47ADB" w:rsidRPr="00354126" w:rsidTr="00752D3E"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7ADB" w:rsidRPr="002850B2" w:rsidRDefault="00147ADB" w:rsidP="00752D3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850B2">
              <w:rPr>
                <w:rFonts w:asciiTheme="minorHAnsi" w:hAnsiTheme="minorHAnsi" w:cstheme="minorHAnsi"/>
                <w:bCs/>
                <w:sz w:val="22"/>
                <w:szCs w:val="22"/>
              </w:rPr>
              <w:t>Wykład, prezentacje multimedialne, dyskusja</w:t>
            </w:r>
          </w:p>
          <w:p w:rsidR="00147ADB" w:rsidRPr="00354126" w:rsidRDefault="00147ADB" w:rsidP="00752D3E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1"/>
        <w:gridCol w:w="5108"/>
      </w:tblGrid>
      <w:tr w:rsidR="00147ADB" w:rsidRPr="00354126" w:rsidTr="00752D3E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354126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47ADB" w:rsidRPr="00354126" w:rsidRDefault="00147ADB" w:rsidP="00B56226">
            <w:pPr>
              <w:pStyle w:val="Standard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  <w:r w:rsidR="00B5622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</w:p>
        </w:tc>
      </w:tr>
      <w:tr w:rsidR="00147ADB" w:rsidRPr="00354126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Nagwek2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3541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7ADB" w:rsidRPr="00354126" w:rsidRDefault="00147ADB" w:rsidP="00752D3E">
            <w:pPr>
              <w:pStyle w:val="Nagwek2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7ADB" w:rsidRPr="00354126" w:rsidRDefault="00147ADB" w:rsidP="00752D3E">
            <w:pPr>
              <w:pStyle w:val="Standard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1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3541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147ADB" w:rsidRPr="000C3F6F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Ustawa o zawodzie psychologa i samorządzie zawodowym psychologów ( Dz. U z 2001 nr 73 poz. 763 z późn. zm)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4A80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Jones, C., Shillito-Clarke, C., Syme, G., Hill, D., Casemore, R., Murdin, L. (2005). </w:t>
            </w: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 wolno, a czego nie wolno terapeucie. Gdańsk: Gdańskie Wydawnictwo Psychologiczne.</w:t>
            </w:r>
          </w:p>
        </w:tc>
      </w:tr>
      <w:tr w:rsidR="00147ADB" w:rsidRPr="000C3F6F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Brzeziński, J., Chyrowicz, B., Toeplitz, Z., Toeplitz-Winiewska, M. (2017). Etyka zawodu psychologa. Wydanie nowe. Warszawa: Wydawnictwo Naukowe PWN.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>Namysłowska, I. (2011). Czasem słowo leczy, a czasem rani  – negatywne</w:t>
            </w:r>
          </w:p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aspekty psychoterapii. Psychoterapia, 2 (157), 5.</w:t>
            </w:r>
          </w:p>
        </w:tc>
      </w:tr>
      <w:tr w:rsidR="00147ADB" w:rsidRPr="000C3F6F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Polskie Towarzystwo Psychologiczne (2000). Kodeks etyczno-zawodowy psychologa. W: J. Strelau (red.), Psychologia. Podręcznik akademicki (t. 3, s. 837-844). Gdańsk: Gdańskie Wydawnictwo Psychologiczne.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>Fiutak, A., Dąbrowski, J. (2012). Udzielanie pomocy terapeutycznej.</w:t>
            </w:r>
          </w:p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>Warszawa: Wydawnictwo Difin SA. Rozdział pt. „Odpowiedzialność zawodowa” (s. 120-149).</w:t>
            </w:r>
          </w:p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ADB" w:rsidRPr="002850B2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Toeplitz-Winiewska M. (red.). (2000). Etyczne aspekty uprawiania zawodu psychologa. W: J. Strelau (red.), Psychologia. Podręcznik akademicki (t. 3, s. 823-836). Gdańsk: Gdańskie Wydawnictwo Psychologiczne.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B4A80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 xml:space="preserve">Bond, T. (2012). Rozwiązywanie problemów etycznych. </w:t>
            </w:r>
            <w:r w:rsidRPr="000B4A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 C. Feltham i I.Horton (red.),</w:t>
            </w:r>
          </w:p>
        </w:tc>
      </w:tr>
      <w:tr w:rsidR="00147ADB" w:rsidRPr="000C3F6F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Marchewka, K. (2014). Etyka w psychoterapii. Diametros, 42, 124–149.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 xml:space="preserve"> Psychoterapia i poradnictwo. Tom 1 (s. 335-338).</w:t>
            </w:r>
          </w:p>
          <w:p w:rsidR="00147ADB" w:rsidRPr="000C3F6F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>Gdańsk: Gdańskie Wydawnictwo Psychologiczne</w:t>
            </w:r>
          </w:p>
          <w:p w:rsidR="00147ADB" w:rsidRPr="000C3F6F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ADB" w:rsidRPr="000C3F6F" w:rsidTr="00752D3E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Kodeks karny art.. 266 § 1, art..180,</w:t>
            </w:r>
            <w:r w:rsidRPr="000C3F6F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rt.. 240 § 1</w:t>
            </w:r>
          </w:p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Art. 50 ust. 1 Ustawa o ochronie zdrowia psychicznego (Dz. U z 1994 r. nr 111 poz.535 z pózn. zm.)</w:t>
            </w:r>
          </w:p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Art. 14 ust. 1 Ustawa o prawach pacjenta i Rzeczniku Praw pacjenta (Dz. U z 2009 nr 52 poz.417 z pózn. zm)</w:t>
            </w:r>
          </w:p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Art. 260 § 2 Kodeks postępowania cywilnego z 17.11.1965 (Dz. U. 43 poz.296 późn. zm)</w:t>
            </w:r>
          </w:p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Art. 84 § 2 Kodeks postępowania administracyjnego z 14.06.1960 (tekst jednolity Dz. U z 2000 nr.98 poz.1071 z późn. zm.)</w:t>
            </w:r>
          </w:p>
          <w:p w:rsidR="00147ADB" w:rsidRPr="000C3F6F" w:rsidRDefault="00147ADB" w:rsidP="00752D3E">
            <w:pPr>
              <w:pStyle w:val="Textbod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C3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Art. 12. 1 Ustawa o przeciwdziałaniu przemocy w rodzinie z dnia 29 lipca 2005 r. (Dz. U. Nr 180, poz. 1493)</w:t>
            </w:r>
          </w:p>
          <w:p w:rsidR="00147ADB" w:rsidRPr="000C3F6F" w:rsidRDefault="00147ADB" w:rsidP="00752D3E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7ADB" w:rsidRPr="000C3F6F" w:rsidRDefault="00147ADB" w:rsidP="00752D3E">
            <w:pPr>
              <w:pStyle w:val="Nagwek2"/>
              <w:snapToGrid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147ADB" w:rsidRPr="000C3F6F" w:rsidRDefault="00147ADB" w:rsidP="00752D3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W w:w="10049" w:type="dxa"/>
        <w:tblInd w:w="-3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2"/>
        <w:gridCol w:w="3607"/>
      </w:tblGrid>
      <w:tr w:rsidR="00147ADB" w:rsidRPr="00354126" w:rsidTr="00752D3E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354126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147ADB" w:rsidRPr="00354126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54126">
              <w:rPr>
                <w:rFonts w:asciiTheme="minorHAnsi" w:hAnsiTheme="minorHAnsi" w:cstheme="minorHAnsi"/>
                <w:b/>
                <w:bCs/>
                <w:color w:val="000000"/>
              </w:rPr>
              <w:t>8. Kalkulacja ECTS – proponowana:</w:t>
            </w:r>
          </w:p>
          <w:p w:rsidR="00147ADB" w:rsidRPr="00354126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354126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(na podstawie poniższego przykładu)</w:t>
            </w:r>
          </w:p>
        </w:tc>
      </w:tr>
      <w:tr w:rsidR="000C3F6F" w:rsidRPr="000C3F6F" w:rsidTr="00752D3E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</w:pPr>
          </w:p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 STACJONARNE/Forma aktywności/obciążenie studenta</w:t>
            </w:r>
          </w:p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Godziny na realizację</w:t>
            </w:r>
          </w:p>
        </w:tc>
      </w:tr>
      <w:tr w:rsidR="000C3F6F" w:rsidRPr="000C3F6F" w:rsidTr="00752D3E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Godziny zajęć (wg planu studiów) z wykładowcą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15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Praca własna studenta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15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Studia literaturowe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20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Przygotowanie prezentacji </w:t>
            </w: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(o ile występuje)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</w:p>
        </w:tc>
      </w:tr>
      <w:tr w:rsidR="000C3F6F" w:rsidRPr="000C3F6F" w:rsidTr="00752D3E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SUMA GODZIN / taka sama dla formy stacjonarnej i niestacjonarnej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50</w:t>
            </w:r>
          </w:p>
        </w:tc>
      </w:tr>
      <w:tr w:rsidR="000C3F6F" w:rsidRPr="000C3F6F" w:rsidTr="00752D3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SUMARYCZNA LICZBA PUNKTÓW </w:t>
            </w: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ECTS</w:t>
            </w: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DLA PRZEDMIOTU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2</w:t>
            </w:r>
          </w:p>
        </w:tc>
      </w:tr>
      <w:tr w:rsidR="000C3F6F" w:rsidRPr="000C3F6F" w:rsidTr="00752D3E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</w:pPr>
          </w:p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 NIESTACJONARNE/Forma aktywności/obciążenie studenta</w:t>
            </w:r>
          </w:p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Godziny na realizację</w:t>
            </w:r>
          </w:p>
        </w:tc>
      </w:tr>
      <w:tr w:rsidR="000C3F6F" w:rsidRPr="000C3F6F" w:rsidTr="00752D3E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Godziny zajęć (wg planu studiów) z wykładowcą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9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Praca własna studenta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20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Studia literaturowe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21</w:t>
            </w:r>
          </w:p>
        </w:tc>
      </w:tr>
      <w:tr w:rsidR="000C3F6F" w:rsidRPr="000C3F6F" w:rsidTr="00752D3E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Przygotowanie prezentacji </w:t>
            </w: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(o ile występuje)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</w:p>
        </w:tc>
      </w:tr>
      <w:tr w:rsidR="000C3F6F" w:rsidRPr="000C3F6F" w:rsidTr="00752D3E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>SUMA GODZIN / taka sama dla formy stacjonarnej i niestacjonarnej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50</w:t>
            </w:r>
          </w:p>
        </w:tc>
      </w:tr>
      <w:tr w:rsidR="000C3F6F" w:rsidRPr="000C3F6F" w:rsidTr="00752D3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147ADB" w:rsidP="00752D3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SUMARYCZNA LICZBA PUNKTÓW </w:t>
            </w:r>
            <w:r w:rsidRPr="000C3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ECTS</w:t>
            </w:r>
            <w:r w:rsidRPr="000C3F6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DLA PRZEDMIOTU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ADB" w:rsidRPr="000C3F6F" w:rsidRDefault="000C3F6F" w:rsidP="000C3F6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0C3F6F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2</w:t>
            </w:r>
          </w:p>
        </w:tc>
      </w:tr>
    </w:tbl>
    <w:p w:rsidR="00147ADB" w:rsidRPr="000C3F6F" w:rsidRDefault="00147ADB" w:rsidP="00147ADB">
      <w:pPr>
        <w:pStyle w:val="Standard"/>
        <w:ind w:left="709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:rsidR="00147ADB" w:rsidRPr="000C3F6F" w:rsidRDefault="00147ADB" w:rsidP="00147ADB">
      <w:pPr>
        <w:pStyle w:val="Standard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</w:p>
    <w:p w:rsidR="00147ADB" w:rsidRPr="000C3F6F" w:rsidRDefault="00147ADB" w:rsidP="00147ADB">
      <w:pPr>
        <w:pStyle w:val="Standard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147ADB" w:rsidRPr="00354126" w:rsidRDefault="00147ADB" w:rsidP="00147ADB">
      <w:pPr>
        <w:pStyle w:val="Standard"/>
        <w:autoSpaceDE w:val="0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147ADB" w:rsidRPr="00354126" w:rsidRDefault="00147ADB" w:rsidP="00147ADB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980381" w:rsidRPr="00354126" w:rsidRDefault="00980381">
      <w:pPr>
        <w:rPr>
          <w:rFonts w:asciiTheme="minorHAnsi" w:hAnsiTheme="minorHAnsi" w:cstheme="minorHAnsi"/>
          <w:sz w:val="22"/>
          <w:szCs w:val="22"/>
        </w:rPr>
      </w:pPr>
    </w:p>
    <w:sectPr w:rsidR="00980381" w:rsidRPr="00354126">
      <w:headerReference w:type="default" r:id="rId6"/>
      <w:footerReference w:type="default" r:id="rId7"/>
      <w:pgSz w:w="11906" w:h="16838"/>
      <w:pgMar w:top="107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B5E" w:rsidRDefault="002E6B5E">
      <w:r>
        <w:separator/>
      </w:r>
    </w:p>
  </w:endnote>
  <w:endnote w:type="continuationSeparator" w:id="0">
    <w:p w:rsidR="002E6B5E" w:rsidRDefault="002E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09E" w:rsidRDefault="00147AD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64B27D" wp14:editId="10204B9E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76837" cy="175263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7" cy="175263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49309E" w:rsidRDefault="00147AD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850B2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64B27D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15pt;margin-top:.05pt;width:6.05pt;height:13.8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" stroked="f">
              <v:fill opacity="0"/>
              <v:textbox style="mso-fit-shape-to-text:t" inset="0,0,0,0">
                <w:txbxContent>
                  <w:p w:rsidR="0049309E" w:rsidRDefault="00147AD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850B2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B5E" w:rsidRDefault="002E6B5E">
      <w:r>
        <w:separator/>
      </w:r>
    </w:p>
  </w:footnote>
  <w:footnote w:type="continuationSeparator" w:id="0">
    <w:p w:rsidR="002E6B5E" w:rsidRDefault="002E6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09E" w:rsidRDefault="00147ADB">
    <w:pPr>
      <w:pStyle w:val="Nagwek"/>
      <w:pBdr>
        <w:bottom w:val="double" w:sz="12" w:space="1" w:color="622423"/>
      </w:pBdr>
      <w:jc w:val="center"/>
      <w:rPr>
        <w:rFonts w:ascii="Cambria" w:hAnsi="Cambria" w:cs="Cambria"/>
        <w:sz w:val="18"/>
        <w:szCs w:val="18"/>
      </w:rPr>
    </w:pPr>
    <w:r>
      <w:rPr>
        <w:rFonts w:ascii="Cambria" w:hAnsi="Cambria"/>
      </w:rPr>
      <w:t>Akademia Nauk Stosowanych</w:t>
    </w:r>
    <w:r w:rsidRPr="00C07A11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Pr="00C07A11">
      <w:rPr>
        <w:rFonts w:ascii="Cambria" w:hAnsi="Cambria"/>
      </w:rPr>
      <w:t>Mieszka I w Poznaniu</w:t>
    </w:r>
  </w:p>
  <w:p w:rsidR="0049309E" w:rsidRDefault="002850B2">
    <w:pPr>
      <w:pStyle w:val="Nagwek"/>
      <w:rPr>
        <w:rFonts w:ascii="Cambria" w:hAnsi="Cambria" w:cs="Cambri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DB"/>
    <w:rsid w:val="000B4A80"/>
    <w:rsid w:val="000C3F6F"/>
    <w:rsid w:val="00147ADB"/>
    <w:rsid w:val="002850B2"/>
    <w:rsid w:val="002E6B5E"/>
    <w:rsid w:val="00354126"/>
    <w:rsid w:val="00980381"/>
    <w:rsid w:val="00B56226"/>
    <w:rsid w:val="00E0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5BA7B-C395-4B31-9684-C419E7D9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47AD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147AD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47ADB"/>
    <w:rPr>
      <w:rFonts w:ascii="Times New Roman" w:eastAsia="Times New Roman" w:hAnsi="Times New Roman" w:cs="Times New Roman"/>
      <w:b/>
      <w:bCs/>
      <w:kern w:val="3"/>
      <w:sz w:val="20"/>
      <w:szCs w:val="24"/>
      <w:lang w:eastAsia="zh-CN"/>
    </w:rPr>
  </w:style>
  <w:style w:type="paragraph" w:customStyle="1" w:styleId="Standard">
    <w:name w:val="Standard"/>
    <w:rsid w:val="00147AD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147ADB"/>
    <w:pPr>
      <w:spacing w:after="140" w:line="276" w:lineRule="auto"/>
    </w:pPr>
  </w:style>
  <w:style w:type="paragraph" w:styleId="Stopka">
    <w:name w:val="footer"/>
    <w:basedOn w:val="Standard"/>
    <w:link w:val="StopkaZnak"/>
    <w:rsid w:val="00147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7AD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rsid w:val="00147AD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Standard"/>
    <w:link w:val="NagwekZnak"/>
    <w:rsid w:val="00147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7AD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Numerstrony">
    <w:name w:val="page number"/>
    <w:basedOn w:val="Domylnaczcionkaakapitu"/>
    <w:rsid w:val="00147ADB"/>
  </w:style>
  <w:style w:type="character" w:customStyle="1" w:styleId="greytext10">
    <w:name w:val="greytext10"/>
    <w:basedOn w:val="Domylnaczcionkaakapitu"/>
    <w:rsid w:val="00147ADB"/>
  </w:style>
  <w:style w:type="character" w:customStyle="1" w:styleId="st">
    <w:name w:val="st"/>
    <w:basedOn w:val="Domylnaczcionkaakapitu"/>
    <w:rsid w:val="00147ADB"/>
  </w:style>
  <w:style w:type="character" w:styleId="Uwydatnienie">
    <w:name w:val="Emphasis"/>
    <w:rsid w:val="00147A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2 - DELL MEIN 2021</cp:lastModifiedBy>
  <cp:revision>6</cp:revision>
  <dcterms:created xsi:type="dcterms:W3CDTF">2023-10-16T19:43:00Z</dcterms:created>
  <dcterms:modified xsi:type="dcterms:W3CDTF">2023-10-17T14:01:00Z</dcterms:modified>
</cp:coreProperties>
</file>