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47"/>
      </w:tblGrid>
      <w:tr w:rsidR="00FC02E5" w:rsidRPr="009D185D" w14:paraId="77B938F5" w14:textId="77777777" w:rsidTr="00EA081A">
        <w:tc>
          <w:tcPr>
            <w:tcW w:w="8747" w:type="dxa"/>
          </w:tcPr>
          <w:p w14:paraId="71161890" w14:textId="4335AE23" w:rsidR="00FC02E5" w:rsidRPr="009D185D" w:rsidRDefault="009D185D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Idzi Siatkowski</w:t>
            </w:r>
            <w:r w:rsidR="005A7EB7"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C02E5" w:rsidRPr="009D185D" w14:paraId="6086DEDE" w14:textId="77777777" w:rsidTr="00EA081A">
        <w:tc>
          <w:tcPr>
            <w:tcW w:w="8747" w:type="dxa"/>
          </w:tcPr>
          <w:p w14:paraId="17CAF788" w14:textId="77777777" w:rsidR="00FC02E5" w:rsidRPr="009D185D" w:rsidRDefault="00FC02E5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C02E5" w:rsidRPr="009D185D" w14:paraId="181D9CC7" w14:textId="77777777" w:rsidTr="00EA081A">
        <w:trPr>
          <w:trHeight w:val="563"/>
        </w:trPr>
        <w:tc>
          <w:tcPr>
            <w:tcW w:w="8747" w:type="dxa"/>
          </w:tcPr>
          <w:p w14:paraId="74C3A229" w14:textId="3B23636A" w:rsidR="009D185D" w:rsidRPr="009D185D" w:rsidRDefault="009D185D" w:rsidP="009D185D">
            <w:pPr>
              <w:widowControl w:val="0"/>
              <w:tabs>
                <w:tab w:val="num" w:pos="540"/>
              </w:tabs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profesor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dziedzina nauk rolniczych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/dyscyplina rolnictwo i ogrodnictwo/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rok nadania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2013 </w:t>
            </w:r>
          </w:p>
          <w:p w14:paraId="4FCBB9B1" w14:textId="78020361" w:rsidR="009D185D" w:rsidRPr="009D185D" w:rsidRDefault="009D185D" w:rsidP="009D185D">
            <w:pPr>
              <w:widowControl w:val="0"/>
              <w:tabs>
                <w:tab w:val="num" w:pos="540"/>
              </w:tabs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doktor hab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ilitowany/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dziedzina nauk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rolniczych</w:t>
            </w:r>
            <w:r w:rsidR="002B2DFE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dyscyplina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naukowa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rolnictwo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i ogrodnictwo/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rok nadania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2004</w:t>
            </w:r>
          </w:p>
          <w:p w14:paraId="53F6041C" w14:textId="0E93B2FE" w:rsidR="009D185D" w:rsidRDefault="009D185D" w:rsidP="009D185D">
            <w:pPr>
              <w:widowControl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doktor/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dziedzina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nauk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ścisłych/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dyscyplina naukowa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matematyka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rok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uzyskania </w:t>
            </w:r>
            <w:r w:rsidRPr="009D185D">
              <w:rPr>
                <w:rFonts w:asciiTheme="minorHAnsi" w:hAnsiTheme="minorHAnsi" w:cstheme="minorHAnsi"/>
                <w:i/>
                <w:sz w:val="24"/>
                <w:szCs w:val="24"/>
              </w:rPr>
              <w:t>1990</w:t>
            </w:r>
          </w:p>
          <w:p w14:paraId="7E2CCF67" w14:textId="5CCB064E" w:rsidR="00FC02E5" w:rsidRPr="009D185D" w:rsidRDefault="009D185D" w:rsidP="009D185D">
            <w:pPr>
              <w:widowControl w:val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magister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dziedzina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nauk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ścisłych/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dyscyplina naukowa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>matematyka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9D185D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rok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uzyskania </w:t>
            </w:r>
            <w:r w:rsidRPr="009D185D">
              <w:rPr>
                <w:rFonts w:asciiTheme="minorHAnsi" w:hAnsiTheme="minorHAnsi" w:cstheme="minorHAnsi"/>
                <w:i/>
                <w:sz w:val="24"/>
                <w:szCs w:val="24"/>
              </w:rPr>
              <w:t>19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80</w:t>
            </w:r>
          </w:p>
        </w:tc>
      </w:tr>
      <w:tr w:rsidR="00FC02E5" w:rsidRPr="009D185D" w14:paraId="7C583B1C" w14:textId="77777777" w:rsidTr="00EA081A">
        <w:trPr>
          <w:trHeight w:val="563"/>
        </w:trPr>
        <w:tc>
          <w:tcPr>
            <w:tcW w:w="8747" w:type="dxa"/>
          </w:tcPr>
          <w:p w14:paraId="43144999" w14:textId="226CA6F2" w:rsidR="00FC02E5" w:rsidRPr="009D185D" w:rsidRDefault="00FC02E5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Wykaz zajęć/grup zajęć i godzin zajęć prowadzonych na ocenianym kierunku przez nauczyciela akademickiego lub inną osobę w</w:t>
            </w:r>
            <w:r w:rsidR="009D185D"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roku akademickim, w którym przeprowadzana jest ocena.</w:t>
            </w:r>
          </w:p>
        </w:tc>
      </w:tr>
      <w:tr w:rsidR="00FC02E5" w:rsidRPr="009D185D" w14:paraId="143AFEDE" w14:textId="77777777" w:rsidTr="00EA081A">
        <w:trPr>
          <w:trHeight w:val="563"/>
        </w:trPr>
        <w:tc>
          <w:tcPr>
            <w:tcW w:w="8747" w:type="dxa"/>
          </w:tcPr>
          <w:p w14:paraId="7853ED3A" w14:textId="77777777" w:rsidR="009D7CA7" w:rsidRPr="009D7CA7" w:rsidRDefault="009D7CA7" w:rsidP="009D7CA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Technologia informacyjna /</w:t>
            </w:r>
            <w:proofErr w:type="spellStart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 18 </w:t>
            </w:r>
            <w:proofErr w:type="spellStart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</w:p>
          <w:p w14:paraId="46C0D271" w14:textId="77777777" w:rsidR="009D7CA7" w:rsidRPr="009D7CA7" w:rsidRDefault="009D7CA7" w:rsidP="009D7CA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Psychometria /</w:t>
            </w:r>
            <w:proofErr w:type="spellStart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s.niestacjonarne</w:t>
            </w:r>
            <w:proofErr w:type="spellEnd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/30 godz. (15 </w:t>
            </w:r>
            <w:proofErr w:type="spellStart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</w:t>
            </w:r>
            <w:proofErr w:type="spellEnd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15ćw)</w:t>
            </w:r>
          </w:p>
          <w:p w14:paraId="1E614258" w14:textId="04FFCF27" w:rsidR="00FC02E5" w:rsidRPr="00570A83" w:rsidRDefault="009D7CA7" w:rsidP="00570A83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Psychometria/</w:t>
            </w:r>
            <w:proofErr w:type="spellStart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s.stacjonarne</w:t>
            </w:r>
            <w:proofErr w:type="spellEnd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/ 50 godz. (25 w i 25 </w:t>
            </w:r>
            <w:proofErr w:type="spellStart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9D7CA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FC02E5" w:rsidRPr="009D185D" w14:paraId="3E44109E" w14:textId="77777777" w:rsidTr="00EA081A">
        <w:tc>
          <w:tcPr>
            <w:tcW w:w="8747" w:type="dxa"/>
          </w:tcPr>
          <w:p w14:paraId="36503668" w14:textId="0566FEB6" w:rsidR="00FC02E5" w:rsidRPr="009D185D" w:rsidRDefault="00FC02E5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dorobku naukowego ze wskazaniem dziedzin nauki/sztuki</w:t>
            </w:r>
            <w:r w:rsidR="009D7CA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9D7CA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FC02E5" w:rsidRPr="009D185D" w14:paraId="0E6292F4" w14:textId="77777777" w:rsidTr="00EA081A">
        <w:trPr>
          <w:trHeight w:val="500"/>
        </w:trPr>
        <w:tc>
          <w:tcPr>
            <w:tcW w:w="8747" w:type="dxa"/>
          </w:tcPr>
          <w:p w14:paraId="543E5942" w14:textId="77777777" w:rsidR="00FC02E5" w:rsidRPr="009D185D" w:rsidRDefault="00FC02E5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  <w:p w14:paraId="2137E1B1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Ponad 165 oryginalnych, recenzowanych, opublikowanych prac naukowych w światowych i krajowych najważniejszych czasopismach matematycznych, statystycznych i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biostatystycznych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04944BA7" w14:textId="77777777" w:rsidR="00570A83" w:rsidRPr="00570A83" w:rsidRDefault="00570A83" w:rsidP="00570A83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  <w:p w14:paraId="4826F459" w14:textId="77777777" w:rsidR="00570A83" w:rsidRPr="00570A83" w:rsidRDefault="00570A83" w:rsidP="00570A83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Caliński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T., Czajka S., Kaczmarek Z., Krajewski P., Pilarczyk W., Siatkowski I., Siatkowski M. (2017). </w:t>
            </w:r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On a mixed model analysis of multi-environment variety trials: a reconsideration of the one-stage and the two-stage models and analyses. Statistical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Pa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-per 58(2), 433-465. DOI 10.1007/s00362-015-0706-y.</w:t>
            </w:r>
          </w:p>
          <w:p w14:paraId="1978DA65" w14:textId="77777777" w:rsidR="00570A83" w:rsidRPr="00570A83" w:rsidRDefault="00570A83" w:rsidP="00570A83">
            <w:pPr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Caliński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I. </w:t>
            </w:r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(2018). </w:t>
            </w: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On a new approach to the analysis of variance for experiments with orthogonal block structure. II. Experiments in nested block designs</w:t>
            </w:r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570A83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  <w:lang w:val="en-US"/>
              </w:rPr>
              <w:t>Biometrical Letters 55(2), 147-178.</w:t>
            </w:r>
          </w:p>
          <w:p w14:paraId="4C5F02EC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Weigt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Dorota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Niemann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Janetta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Idzi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Zyprych-Walczak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Joanna,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Olejnik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Przemysław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Kurasiak-Popowska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Danuta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(2019). Effect of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Zearalenone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and Hormone Regulators on Microspore Embryogenesis in Anther Culture of Wheat. Plants-Basel 8, 11, 487.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doi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: 10.3390/plants8110487.</w:t>
            </w:r>
          </w:p>
          <w:p w14:paraId="73FFF458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Caliński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Łacka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I. </w:t>
            </w:r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(2020). </w:t>
            </w: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On a new approach to the analysis of variance for experiments with orthogonal block structure. IV. Experiments in split-plot designs</w:t>
            </w:r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570A83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  <w:lang w:val="en-US"/>
              </w:rPr>
              <w:t>Biometrical Letters 57(2), 151-175.</w:t>
            </w:r>
          </w:p>
          <w:p w14:paraId="3D4DC14A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Gaj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Renata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Szulc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Piotr,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Idzi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Waligóra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Hubert (2020). Assessment of the effect of the mineral fertilization system on the nutritional status of maize plants and grain yield prediction.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Agriculture-Basel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10, 404; doi:10.3390/agriculture10090404  </w:t>
            </w:r>
          </w:p>
          <w:p w14:paraId="6AFD0E52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Matysiak Kinga, Kierzek Roman, Siatkowski Idzi, Krawczyk Roman, Kowalska Jolanta,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Miziniak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Wojciech (2020). </w:t>
            </w: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Effect of Exogenous Application of Amino Acids L-Arginine and Glycine on Maize Under Temperature Stress.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Agronomy-Basel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70A83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10</w:t>
            </w: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769. doi: </w:t>
            </w:r>
            <w:hyperlink r:id="rId5" w:history="1">
              <w:r w:rsidRPr="00570A83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10.3390/agronomy10060769</w:t>
              </w:r>
            </w:hyperlink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091B42D9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Matysiak Kinga, Siatkowski Idzi, Kierzek Roman, Kowalska Jolanta, Krawczyk Roman (2020). </w:t>
            </w: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 xml:space="preserve">Effect of Foliar Applied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>Acetylsalicilic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 xml:space="preserve"> Acid on Wheat (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>Triticum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>aestivum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 xml:space="preserve"> L.) under Field Conditions.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Agronomy-Basel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10, 1918; doi:10.3390/agronomy10121918</w:t>
            </w:r>
          </w:p>
          <w:p w14:paraId="75E03766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</w:pP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Piekarska-Boniecka Hanna,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Zyprych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-Walczak Joanna, Siatkowski Idzi, Barczak Tadeusz (2020). </w:t>
            </w: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The effect of vegetation in apple orchard edges on the phenology of parasitoids from the subfamily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Pimplinae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(Hymenoptera,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Ichneumonidae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).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Acta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Sci. Pol.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Hortorum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Cultus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, 19(5), 129–142. DOI: 10.24326/asphc.2020.5.13.</w:t>
            </w:r>
          </w:p>
          <w:p w14:paraId="35BA4994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</w:pP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Szenajch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Jolanta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Szabelska-Beręsewicz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Alicja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Świercz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Aleksandra,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Zyprych-Walczak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Joanna,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Idzi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Góralski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Michał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Synowiec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Agnieszka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Handschuh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Luiza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(2020).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Transcriptome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Remodeling in Gradual Development of Inverse Resistance between Paclitaxel and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>Cisplatin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 in Ovarian Cancer Cells.</w:t>
            </w:r>
            <w:r w:rsidRPr="00570A83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  <w:lang w:val="en-US" w:bidi="en-US"/>
              </w:rPr>
              <w:t xml:space="preserve"> International Journal of Molecular Sciences 21(23), 9218.</w:t>
            </w:r>
          </w:p>
          <w:p w14:paraId="46A5809E" w14:textId="77777777" w:rsidR="00570A83" w:rsidRPr="00570A83" w:rsidRDefault="00570A83" w:rsidP="00570A83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Matysiak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Konrad,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Szewczuk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Magdalena,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Sobocki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Jacek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Zdziarska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Marta,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Idzi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(2021). Complications of tunneled peripherally inserted central and tunneled-cuffed central catheters in home parenteral nutrition. </w:t>
            </w:r>
            <w:proofErr w:type="spellStart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Nutrition</w:t>
            </w:r>
            <w:proofErr w:type="spellEnd"/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91_92, 111354. https://doi.org/ 10.1016/j.nut.2021.111354.</w:t>
            </w:r>
          </w:p>
          <w:p w14:paraId="5643FCAC" w14:textId="77777777" w:rsidR="00570A83" w:rsidRPr="00570A83" w:rsidRDefault="00570A83" w:rsidP="00570A83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</w:pPr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Piekarska-Boniecka H., Rzańska-Wieczorek M., Siatkowski I., Barczak T. (2022).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Parasitisation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Yponomeuta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malinellus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feeding on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Crataegus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monogyna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in the allot-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ment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gardens in the city of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Poznań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, Poland. Plant Protection Science, 58 (2), 150-157.  https://doi.org/10.17221/ 101/2021-PPS.</w:t>
            </w:r>
          </w:p>
          <w:p w14:paraId="6D69C976" w14:textId="64BAAFA8" w:rsidR="00FC02E5" w:rsidRPr="00570A83" w:rsidRDefault="00570A83" w:rsidP="009D185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Wójcik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Siatkowski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I.,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>Żurek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P.  (2022). Application of functional tests in the prevention from musculoskeletal injuries in young classical style wrestlers.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Journal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Men’s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Health</w:t>
            </w:r>
            <w:proofErr w:type="spellEnd"/>
            <w:r w:rsidRPr="00570A83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18(5): 111. http://doi.org/10.31083/j.jomh1805111.</w:t>
            </w:r>
          </w:p>
        </w:tc>
      </w:tr>
      <w:tr w:rsidR="00FC02E5" w:rsidRPr="009D185D" w14:paraId="4E234534" w14:textId="77777777" w:rsidTr="00EA081A">
        <w:tc>
          <w:tcPr>
            <w:tcW w:w="8747" w:type="dxa"/>
          </w:tcPr>
          <w:p w14:paraId="76AC6172" w14:textId="77777777" w:rsidR="00FC02E5" w:rsidRPr="009D185D" w:rsidRDefault="00FC02E5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FC02E5" w:rsidRPr="009D185D" w14:paraId="4A61AD00" w14:textId="77777777" w:rsidTr="00EA081A">
        <w:trPr>
          <w:trHeight w:val="509"/>
        </w:trPr>
        <w:tc>
          <w:tcPr>
            <w:tcW w:w="8747" w:type="dxa"/>
          </w:tcPr>
          <w:p w14:paraId="44FA1E1A" w14:textId="5AD052A8" w:rsidR="00FC02E5" w:rsidRPr="00570A83" w:rsidRDefault="00570A83" w:rsidP="009D185D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0A8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Prowadzenie zajęć (wykłady i ćwiczenia) z matematyki wyższej, statystyki, analizy danych wielowymiarowych na studiach I oraz II stopnia oraz doktorantów.</w:t>
            </w:r>
          </w:p>
        </w:tc>
      </w:tr>
      <w:tr w:rsidR="00EA081A" w:rsidRPr="009D185D" w14:paraId="79BCAEB2" w14:textId="77777777" w:rsidTr="00EA081A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4306DF98" w14:textId="77777777" w:rsidR="00EA081A" w:rsidRPr="009D185D" w:rsidRDefault="00EA081A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D185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EA081A" w:rsidRPr="009D185D" w14:paraId="0D502C21" w14:textId="77777777" w:rsidTr="00EA081A">
        <w:trPr>
          <w:trHeight w:val="509"/>
        </w:trPr>
        <w:tc>
          <w:tcPr>
            <w:tcW w:w="8747" w:type="dxa"/>
            <w:tcBorders>
              <w:top w:val="single" w:sz="18" w:space="0" w:color="233D81"/>
              <w:left w:val="single" w:sz="18" w:space="0" w:color="233D81"/>
              <w:bottom w:val="single" w:sz="18" w:space="0" w:color="233D81"/>
              <w:right w:val="single" w:sz="18" w:space="0" w:color="233D81"/>
            </w:tcBorders>
          </w:tcPr>
          <w:p w14:paraId="5686D2C1" w14:textId="05D91127" w:rsidR="00EA081A" w:rsidRPr="009D185D" w:rsidRDefault="00EA081A" w:rsidP="009D185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036C5E0" w14:textId="77777777" w:rsidR="00E5320C" w:rsidRDefault="00E5320C"/>
    <w:p w14:paraId="53BA5E49" w14:textId="77777777" w:rsidR="009D7CA7" w:rsidRDefault="009D7CA7"/>
    <w:p w14:paraId="2FBFEAF7" w14:textId="77777777" w:rsidR="009D7CA7" w:rsidRDefault="009D7CA7"/>
    <w:sectPr w:rsidR="009D7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01CB1"/>
    <w:multiLevelType w:val="hybridMultilevel"/>
    <w:tmpl w:val="E646B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667D8"/>
    <w:multiLevelType w:val="hybridMultilevel"/>
    <w:tmpl w:val="6C28B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262C1"/>
    <w:multiLevelType w:val="hybridMultilevel"/>
    <w:tmpl w:val="2FEA9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E5"/>
    <w:rsid w:val="002B2DFE"/>
    <w:rsid w:val="00570A83"/>
    <w:rsid w:val="005A7EB7"/>
    <w:rsid w:val="009D185D"/>
    <w:rsid w:val="009D7CA7"/>
    <w:rsid w:val="00D81E3B"/>
    <w:rsid w:val="00E5320C"/>
    <w:rsid w:val="00EA081A"/>
    <w:rsid w:val="00F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C2EA"/>
  <w15:docId w15:val="{0545D09A-0511-468E-8CE4-DAF61057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2E5"/>
    <w:pPr>
      <w:spacing w:after="0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EB7"/>
    <w:pPr>
      <w:ind w:left="720"/>
      <w:contextualSpacing/>
    </w:pPr>
  </w:style>
  <w:style w:type="table" w:styleId="Tabela-Siatka">
    <w:name w:val="Table Grid"/>
    <w:basedOn w:val="Standardowy"/>
    <w:uiPriority w:val="59"/>
    <w:rsid w:val="009D7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70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agronomy100607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DELL</cp:lastModifiedBy>
  <cp:revision>3</cp:revision>
  <dcterms:created xsi:type="dcterms:W3CDTF">2023-10-14T10:57:00Z</dcterms:created>
  <dcterms:modified xsi:type="dcterms:W3CDTF">2023-10-14T11:13:00Z</dcterms:modified>
</cp:coreProperties>
</file>