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3F" w:rsidRDefault="0016053F" w:rsidP="0016053F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6053F" w:rsidRPr="00D212B2" w:rsidRDefault="0016053F" w:rsidP="0016053F">
      <w:pPr>
        <w:pBdr>
          <w:bottom w:val="thinThickSmallGap" w:sz="18" w:space="2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D212B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799034" wp14:editId="499DF807">
            <wp:simplePos x="0" y="0"/>
            <wp:positionH relativeFrom="margin">
              <wp:posOffset>-635</wp:posOffset>
            </wp:positionH>
            <wp:positionV relativeFrom="margin">
              <wp:posOffset>-132080</wp:posOffset>
            </wp:positionV>
            <wp:extent cx="2238375" cy="1330960"/>
            <wp:effectExtent l="0" t="0" r="0" b="0"/>
            <wp:wrapSquare wrapText="bothSides"/>
            <wp:docPr id="4" name="Obraz 4" descr="ANSM biało czerwone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M biało czerwone log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2B2">
        <w:rPr>
          <w:rFonts w:ascii="Times New Roman" w:hAnsi="Times New Roman" w:cs="Times New Roman"/>
          <w:b/>
          <w:noProof/>
        </w:rPr>
        <w:t>AKADEMIA NAUK STOSOWANYCH</w:t>
      </w:r>
      <w:r w:rsidRPr="00D212B2">
        <w:rPr>
          <w:rFonts w:ascii="Times New Roman" w:hAnsi="Times New Roman" w:cs="Times New Roman"/>
          <w:b/>
        </w:rPr>
        <w:t xml:space="preserve"> </w:t>
      </w:r>
      <w:r w:rsidRPr="00D212B2">
        <w:rPr>
          <w:rFonts w:ascii="Times New Roman" w:hAnsi="Times New Roman" w:cs="Times New Roman"/>
          <w:b/>
        </w:rPr>
        <w:br/>
        <w:t>IM. KSIĘCIA MIESZKA I W POZNANIU</w:t>
      </w:r>
    </w:p>
    <w:p w:rsidR="0016053F" w:rsidRDefault="0016053F" w:rsidP="008278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53F" w:rsidRDefault="0082781E" w:rsidP="00200E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053F">
        <w:rPr>
          <w:rFonts w:ascii="Times New Roman" w:hAnsi="Times New Roman" w:cs="Times New Roman"/>
          <w:b/>
          <w:sz w:val="32"/>
          <w:szCs w:val="32"/>
        </w:rPr>
        <w:t>Opis systemu ECTS</w:t>
      </w:r>
      <w:r w:rsidR="0016053F" w:rsidRPr="001605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637C" w:rsidRDefault="0016053F" w:rsidP="00160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53F">
        <w:rPr>
          <w:rFonts w:ascii="Times New Roman" w:hAnsi="Times New Roman" w:cs="Times New Roman"/>
          <w:b/>
          <w:sz w:val="32"/>
          <w:szCs w:val="32"/>
        </w:rPr>
        <w:t xml:space="preserve">w ramach </w:t>
      </w:r>
      <w:r w:rsidR="006B637C">
        <w:rPr>
          <w:rFonts w:ascii="Times New Roman" w:hAnsi="Times New Roman" w:cs="Times New Roman"/>
          <w:b/>
          <w:sz w:val="32"/>
          <w:szCs w:val="32"/>
        </w:rPr>
        <w:t xml:space="preserve">wewnętrznego systemu </w:t>
      </w:r>
      <w:r w:rsidRPr="0016053F">
        <w:rPr>
          <w:rFonts w:ascii="Times New Roman" w:hAnsi="Times New Roman" w:cs="Times New Roman"/>
          <w:b/>
          <w:sz w:val="32"/>
          <w:szCs w:val="32"/>
        </w:rPr>
        <w:t>zapewnienia</w:t>
      </w:r>
      <w:r w:rsidR="006B637C">
        <w:rPr>
          <w:rFonts w:ascii="Times New Roman" w:hAnsi="Times New Roman" w:cs="Times New Roman"/>
          <w:b/>
          <w:sz w:val="32"/>
          <w:szCs w:val="32"/>
        </w:rPr>
        <w:t xml:space="preserve"> i oceny</w:t>
      </w:r>
      <w:r w:rsidRPr="001605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16DE" w:rsidRDefault="0016053F" w:rsidP="00160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53F">
        <w:rPr>
          <w:rFonts w:ascii="Times New Roman" w:hAnsi="Times New Roman" w:cs="Times New Roman"/>
          <w:b/>
          <w:sz w:val="32"/>
          <w:szCs w:val="32"/>
        </w:rPr>
        <w:t>jakości kształcenia</w:t>
      </w:r>
    </w:p>
    <w:p w:rsidR="00200ED6" w:rsidRDefault="00200ED6" w:rsidP="00160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obowiązuj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ący w Akademii Nauk Stosowanych </w:t>
      </w:r>
    </w:p>
    <w:p w:rsidR="00200ED6" w:rsidRDefault="00200ED6" w:rsidP="0016053F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im. Księcia Mieszka I w Poznaniu</w:t>
      </w:r>
    </w:p>
    <w:p w:rsidR="0082781E" w:rsidRDefault="0082781E" w:rsidP="0082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A3" w:rsidRPr="00201EA3" w:rsidRDefault="0082781E" w:rsidP="00201EA3">
      <w:pPr>
        <w:pStyle w:val="Tekstkomentarza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01EA3" w:rsidRPr="00201EA3">
        <w:rPr>
          <w:sz w:val="24"/>
          <w:szCs w:val="24"/>
          <w:lang w:val="pl-PL"/>
        </w:rPr>
        <w:t xml:space="preserve">Wzorcami międzynarodowymi, </w:t>
      </w:r>
      <w:r w:rsidR="00201EA3" w:rsidRPr="00201EA3">
        <w:rPr>
          <w:sz w:val="24"/>
          <w:szCs w:val="24"/>
        </w:rPr>
        <w:t xml:space="preserve">które mają wpływ zarówno na koncepcję kształcenia, określanie efektów </w:t>
      </w:r>
      <w:r w:rsidR="00201EA3" w:rsidRPr="00201EA3">
        <w:rPr>
          <w:sz w:val="24"/>
          <w:szCs w:val="24"/>
          <w:lang w:val="pl-PL"/>
        </w:rPr>
        <w:t xml:space="preserve">uczenia się </w:t>
      </w:r>
      <w:r w:rsidR="00201EA3" w:rsidRPr="00201EA3">
        <w:rPr>
          <w:sz w:val="24"/>
          <w:szCs w:val="24"/>
        </w:rPr>
        <w:t xml:space="preserve">oraz programów studiów, jak również na proces </w:t>
      </w:r>
      <w:r w:rsidR="00201EA3">
        <w:rPr>
          <w:sz w:val="24"/>
          <w:szCs w:val="24"/>
          <w:lang w:val="pl-PL"/>
        </w:rPr>
        <w:t xml:space="preserve">organizacji i </w:t>
      </w:r>
      <w:r w:rsidR="00201EA3" w:rsidRPr="00201EA3">
        <w:rPr>
          <w:sz w:val="24"/>
          <w:szCs w:val="24"/>
        </w:rPr>
        <w:t xml:space="preserve">realizacji procesu </w:t>
      </w:r>
      <w:r w:rsidR="00DB1731">
        <w:rPr>
          <w:sz w:val="24"/>
          <w:szCs w:val="24"/>
          <w:lang w:val="pl-PL"/>
        </w:rPr>
        <w:t xml:space="preserve">prowadzącego do uzyskania efektów uczenia się </w:t>
      </w:r>
      <w:r w:rsidR="00201EA3" w:rsidRPr="00201EA3">
        <w:rPr>
          <w:sz w:val="24"/>
          <w:szCs w:val="24"/>
          <w:lang w:val="pl-PL"/>
        </w:rPr>
        <w:t xml:space="preserve">jest </w:t>
      </w:r>
      <w:r w:rsidR="00201EA3" w:rsidRPr="00201EA3">
        <w:rPr>
          <w:sz w:val="24"/>
          <w:szCs w:val="24"/>
        </w:rPr>
        <w:t>współprac</w:t>
      </w:r>
      <w:r w:rsidR="00201EA3" w:rsidRPr="00201EA3">
        <w:rPr>
          <w:sz w:val="24"/>
          <w:szCs w:val="24"/>
          <w:lang w:val="pl-PL"/>
        </w:rPr>
        <w:t>a</w:t>
      </w:r>
      <w:r w:rsidR="00201EA3" w:rsidRPr="00201EA3">
        <w:rPr>
          <w:sz w:val="24"/>
          <w:szCs w:val="24"/>
        </w:rPr>
        <w:t xml:space="preserve"> z podmiotami edukacyjnymi (uczelnie wyższe)</w:t>
      </w:r>
      <w:r w:rsidR="00201EA3" w:rsidRPr="00201EA3">
        <w:rPr>
          <w:sz w:val="24"/>
          <w:szCs w:val="24"/>
          <w:lang w:val="pl-PL"/>
        </w:rPr>
        <w:t xml:space="preserve"> przejawiająca się w takich działaniach jak:</w:t>
      </w:r>
      <w:r w:rsidR="00201EA3" w:rsidRPr="00201EA3">
        <w:rPr>
          <w:sz w:val="24"/>
          <w:szCs w:val="24"/>
        </w:rPr>
        <w:t xml:space="preserve"> </w:t>
      </w:r>
    </w:p>
    <w:p w:rsidR="00201EA3" w:rsidRPr="00201EA3" w:rsidRDefault="00201EA3" w:rsidP="00201EA3">
      <w:pPr>
        <w:pStyle w:val="Tekstkomentarza"/>
        <w:numPr>
          <w:ilvl w:val="0"/>
          <w:numId w:val="2"/>
        </w:numPr>
        <w:spacing w:line="360" w:lineRule="auto"/>
        <w:ind w:left="567" w:hanging="283"/>
        <w:contextualSpacing/>
        <w:rPr>
          <w:i/>
          <w:sz w:val="24"/>
          <w:szCs w:val="24"/>
        </w:rPr>
      </w:pPr>
      <w:r w:rsidRPr="00201EA3">
        <w:rPr>
          <w:sz w:val="24"/>
          <w:szCs w:val="24"/>
        </w:rPr>
        <w:t xml:space="preserve">stała wymiana informacji dotyczącej </w:t>
      </w:r>
      <w:r w:rsidRPr="00201EA3">
        <w:rPr>
          <w:sz w:val="24"/>
          <w:szCs w:val="24"/>
          <w:lang w:val="pl-PL"/>
        </w:rPr>
        <w:t xml:space="preserve">programów </w:t>
      </w:r>
      <w:r w:rsidRPr="00201EA3">
        <w:rPr>
          <w:sz w:val="24"/>
          <w:szCs w:val="24"/>
        </w:rPr>
        <w:t xml:space="preserve">studiów pomiędzy </w:t>
      </w:r>
      <w:r w:rsidR="00DB1731">
        <w:rPr>
          <w:sz w:val="24"/>
          <w:szCs w:val="24"/>
          <w:lang w:val="pl-PL"/>
        </w:rPr>
        <w:t xml:space="preserve">Akademią Nauk Stosowanych im. Księcia Mieszka I w Poznaniu (dalej: ANSM) </w:t>
      </w:r>
      <w:r w:rsidRPr="00201EA3">
        <w:rPr>
          <w:sz w:val="24"/>
          <w:szCs w:val="24"/>
        </w:rPr>
        <w:t xml:space="preserve">a uczelniami partnerskimi; </w:t>
      </w:r>
    </w:p>
    <w:p w:rsidR="00201EA3" w:rsidRPr="00201EA3" w:rsidRDefault="00201EA3" w:rsidP="00201EA3">
      <w:pPr>
        <w:pStyle w:val="Tekstkomentarza"/>
        <w:numPr>
          <w:ilvl w:val="0"/>
          <w:numId w:val="2"/>
        </w:numPr>
        <w:spacing w:line="360" w:lineRule="auto"/>
        <w:ind w:left="567" w:hanging="283"/>
        <w:contextualSpacing/>
        <w:rPr>
          <w:i/>
          <w:sz w:val="24"/>
          <w:szCs w:val="24"/>
        </w:rPr>
      </w:pPr>
      <w:r w:rsidRPr="00201EA3">
        <w:rPr>
          <w:sz w:val="24"/>
          <w:szCs w:val="24"/>
        </w:rPr>
        <w:t xml:space="preserve">obserwacja sposobów realizacji programów </w:t>
      </w:r>
      <w:r w:rsidRPr="00201EA3">
        <w:rPr>
          <w:sz w:val="24"/>
          <w:szCs w:val="24"/>
          <w:lang w:val="pl-PL"/>
        </w:rPr>
        <w:t xml:space="preserve">studiów </w:t>
      </w:r>
      <w:r w:rsidRPr="00201EA3">
        <w:rPr>
          <w:sz w:val="24"/>
          <w:szCs w:val="24"/>
        </w:rPr>
        <w:t xml:space="preserve">na uczelniach partnerskich w czasie wizyt oraz realizowanych mobilności; </w:t>
      </w:r>
    </w:p>
    <w:p w:rsidR="00201EA3" w:rsidRPr="00201EA3" w:rsidRDefault="00201EA3" w:rsidP="00201EA3">
      <w:pPr>
        <w:pStyle w:val="Tekstkomentarza"/>
        <w:numPr>
          <w:ilvl w:val="0"/>
          <w:numId w:val="2"/>
        </w:numPr>
        <w:spacing w:line="360" w:lineRule="auto"/>
        <w:ind w:left="567" w:hanging="283"/>
        <w:contextualSpacing/>
        <w:rPr>
          <w:i/>
          <w:sz w:val="24"/>
          <w:szCs w:val="24"/>
        </w:rPr>
      </w:pPr>
      <w:r w:rsidRPr="00201EA3">
        <w:rPr>
          <w:iCs/>
          <w:color w:val="252525"/>
          <w:sz w:val="24"/>
          <w:szCs w:val="24"/>
          <w:shd w:val="clear" w:color="auto" w:fill="FFFFFF"/>
        </w:rPr>
        <w:t>u</w:t>
      </w:r>
      <w:r w:rsidR="00DB1731">
        <w:rPr>
          <w:iCs/>
          <w:color w:val="252525"/>
          <w:sz w:val="24"/>
          <w:szCs w:val="24"/>
          <w:shd w:val="clear" w:color="auto" w:fill="FFFFFF"/>
        </w:rPr>
        <w:t xml:space="preserve">dział przedstawicieli </w:t>
      </w:r>
      <w:r w:rsidR="00DB1731">
        <w:rPr>
          <w:iCs/>
          <w:color w:val="252525"/>
          <w:sz w:val="24"/>
          <w:szCs w:val="24"/>
          <w:shd w:val="clear" w:color="auto" w:fill="FFFFFF"/>
          <w:lang w:val="pl-PL"/>
        </w:rPr>
        <w:t>ANSM</w:t>
      </w:r>
      <w:r w:rsidRPr="00201EA3">
        <w:rPr>
          <w:iCs/>
          <w:color w:val="252525"/>
          <w:sz w:val="24"/>
          <w:szCs w:val="24"/>
          <w:shd w:val="clear" w:color="auto" w:fill="FFFFFF"/>
          <w:lang w:val="pl-PL"/>
        </w:rPr>
        <w:t xml:space="preserve"> </w:t>
      </w:r>
      <w:r w:rsidRPr="00201EA3">
        <w:rPr>
          <w:iCs/>
          <w:color w:val="252525"/>
          <w:sz w:val="24"/>
          <w:szCs w:val="24"/>
          <w:shd w:val="clear" w:color="auto" w:fill="FFFFFF"/>
        </w:rPr>
        <w:t>w konferencjach międzynarodowych oraz programach szkoleń.</w:t>
      </w:r>
    </w:p>
    <w:p w:rsidR="00201EA3" w:rsidRPr="00201EA3" w:rsidRDefault="00201EA3" w:rsidP="00201EA3">
      <w:pPr>
        <w:pStyle w:val="Tekstkomentarza"/>
        <w:spacing w:line="360" w:lineRule="auto"/>
        <w:contextualSpacing/>
        <w:rPr>
          <w:b/>
          <w:sz w:val="24"/>
          <w:szCs w:val="24"/>
        </w:rPr>
      </w:pPr>
    </w:p>
    <w:p w:rsidR="00201EA3" w:rsidRDefault="00201EA3" w:rsidP="00201EA3">
      <w:pPr>
        <w:pStyle w:val="Tekstgwnyraportu"/>
        <w:spacing w:after="0"/>
        <w:rPr>
          <w:rFonts w:eastAsia="Calibri"/>
          <w:lang w:eastAsia="en-US"/>
        </w:rPr>
      </w:pPr>
      <w:r w:rsidRPr="00201EA3">
        <w:rPr>
          <w:rFonts w:eastAsia="Calibri"/>
          <w:lang w:eastAsia="en-US"/>
        </w:rPr>
        <w:tab/>
        <w:t xml:space="preserve">Na szczególną uwagę zasługuje </w:t>
      </w:r>
      <w:r w:rsidRPr="00201EA3">
        <w:t xml:space="preserve">stałe stosowanie procedur </w:t>
      </w:r>
      <w:proofErr w:type="spellStart"/>
      <w:r w:rsidRPr="00201EA3">
        <w:rPr>
          <w:i/>
          <w:iCs/>
          <w:color w:val="252525"/>
          <w:shd w:val="clear" w:color="auto" w:fill="FFFFFF"/>
        </w:rPr>
        <w:t>European</w:t>
      </w:r>
      <w:proofErr w:type="spellEnd"/>
      <w:r w:rsidRPr="00201EA3">
        <w:rPr>
          <w:i/>
          <w:iCs/>
          <w:color w:val="252525"/>
          <w:shd w:val="clear" w:color="auto" w:fill="FFFFFF"/>
        </w:rPr>
        <w:t xml:space="preserve"> </w:t>
      </w:r>
      <w:proofErr w:type="spellStart"/>
      <w:r w:rsidRPr="00201EA3">
        <w:rPr>
          <w:i/>
          <w:iCs/>
          <w:color w:val="252525"/>
          <w:shd w:val="clear" w:color="auto" w:fill="FFFFFF"/>
        </w:rPr>
        <w:t>Credit</w:t>
      </w:r>
      <w:proofErr w:type="spellEnd"/>
      <w:r w:rsidRPr="00201EA3">
        <w:rPr>
          <w:i/>
          <w:iCs/>
          <w:color w:val="252525"/>
          <w:shd w:val="clear" w:color="auto" w:fill="FFFFFF"/>
        </w:rPr>
        <w:t xml:space="preserve"> Transfer System</w:t>
      </w:r>
      <w:r w:rsidRPr="00201EA3">
        <w:rPr>
          <w:iCs/>
          <w:color w:val="252525"/>
          <w:shd w:val="clear" w:color="auto" w:fill="FFFFFF"/>
        </w:rPr>
        <w:t xml:space="preserve"> (ECTS). </w:t>
      </w:r>
      <w:r w:rsidRPr="00201EA3">
        <w:rPr>
          <w:rFonts w:eastAsia="Calibri"/>
          <w:lang w:eastAsia="en-US"/>
        </w:rPr>
        <w:t xml:space="preserve">System punktów zaliczeniowych ECTS stosowany w </w:t>
      </w:r>
      <w:r w:rsidR="00DB1731">
        <w:rPr>
          <w:rFonts w:eastAsia="Calibri"/>
          <w:lang w:eastAsia="en-US"/>
        </w:rPr>
        <w:t xml:space="preserve">ANSM </w:t>
      </w:r>
      <w:r w:rsidRPr="00201EA3">
        <w:rPr>
          <w:rFonts w:eastAsia="Calibri"/>
          <w:lang w:eastAsia="en-US"/>
        </w:rPr>
        <w:t>jest zgodny z zaleceniami Przewodnika Europejskiego Systemu Transferu i Akumulacji Punktów. System akumulacji punktów obejmuje:</w:t>
      </w:r>
    </w:p>
    <w:p w:rsidR="00DB1731" w:rsidRPr="00201EA3" w:rsidRDefault="00DB1731" w:rsidP="00201EA3">
      <w:pPr>
        <w:pStyle w:val="Tekstgwnyraportu"/>
        <w:spacing w:after="0"/>
        <w:rPr>
          <w:rFonts w:eastAsia="Calibri"/>
          <w:lang w:eastAsia="en-US"/>
        </w:rPr>
      </w:pPr>
    </w:p>
    <w:p w:rsidR="00201EA3" w:rsidRPr="00201EA3" w:rsidRDefault="00201EA3" w:rsidP="00201E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t>przygotowanie programu studiów w oparciu o nakład pracy studentów i zakładane efekty uczenia się,</w:t>
      </w:r>
    </w:p>
    <w:p w:rsidR="00201EA3" w:rsidRPr="00201EA3" w:rsidRDefault="00201EA3" w:rsidP="00201E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t>zasady rejestracji studentów na poszczególne semestry i lata,</w:t>
      </w:r>
    </w:p>
    <w:p w:rsidR="00201EA3" w:rsidRPr="00201EA3" w:rsidRDefault="00201EA3" w:rsidP="00201E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t xml:space="preserve">organizację elastycznego procesu dydaktycznego, </w:t>
      </w:r>
    </w:p>
    <w:p w:rsidR="00201EA3" w:rsidRPr="00201EA3" w:rsidRDefault="00201EA3" w:rsidP="00201E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lastRenderedPageBreak/>
        <w:t>monitorowanie i ocenę prawidłowości funkcjonowania programu studiów.</w:t>
      </w:r>
    </w:p>
    <w:p w:rsidR="00201EA3" w:rsidRPr="00201EA3" w:rsidRDefault="00201EA3" w:rsidP="00201E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201EA3" w:rsidRPr="00201EA3" w:rsidRDefault="00201EA3" w:rsidP="00201EA3">
      <w:pPr>
        <w:pStyle w:val="Tekstgwnyraportu"/>
        <w:spacing w:after="0"/>
        <w:rPr>
          <w:rFonts w:eastAsia="Calibri"/>
          <w:lang w:eastAsia="en-US"/>
        </w:rPr>
      </w:pPr>
      <w:r w:rsidRPr="00201EA3">
        <w:rPr>
          <w:rFonts w:eastAsia="Calibri"/>
          <w:lang w:eastAsia="en-US"/>
        </w:rPr>
        <w:tab/>
        <w:t>Celem ww. systemu jest ułatwianie planowania, zdobywania, oceniania, uznawania i walidacji kwalifikacji oraz jednostek edukacyjnych, a także mobilno</w:t>
      </w:r>
      <w:r w:rsidRPr="00201EA3">
        <w:rPr>
          <w:rFonts w:eastAsia="TimesNewRoman"/>
          <w:lang w:eastAsia="en-US"/>
        </w:rPr>
        <w:t>ś</w:t>
      </w:r>
      <w:r w:rsidRPr="00201EA3">
        <w:rPr>
          <w:rFonts w:eastAsia="Calibri"/>
          <w:lang w:eastAsia="en-US"/>
        </w:rPr>
        <w:t xml:space="preserve">ci studentów. </w:t>
      </w:r>
      <w:r w:rsidRPr="00201EA3">
        <w:rPr>
          <w:rFonts w:eastAsia="Calibri"/>
          <w:bCs/>
          <w:lang w:eastAsia="en-US"/>
        </w:rPr>
        <w:t xml:space="preserve">Punkty ECTS </w:t>
      </w:r>
      <w:r w:rsidRPr="00201EA3">
        <w:rPr>
          <w:rFonts w:eastAsia="Calibri"/>
          <w:lang w:eastAsia="en-US"/>
        </w:rPr>
        <w:t>odzwierciedlaj</w:t>
      </w:r>
      <w:r w:rsidRPr="00201EA3">
        <w:rPr>
          <w:rFonts w:eastAsia="TimesNewRoman"/>
          <w:lang w:eastAsia="en-US"/>
        </w:rPr>
        <w:t xml:space="preserve">ą </w:t>
      </w:r>
      <w:r w:rsidRPr="00201EA3">
        <w:rPr>
          <w:rFonts w:eastAsia="Calibri"/>
          <w:lang w:eastAsia="en-US"/>
        </w:rPr>
        <w:t>nakład pracy studenta potrzebny do osi</w:t>
      </w:r>
      <w:r w:rsidRPr="00201EA3">
        <w:rPr>
          <w:rFonts w:eastAsia="TimesNewRoman"/>
          <w:lang w:eastAsia="en-US"/>
        </w:rPr>
        <w:t>ą</w:t>
      </w:r>
      <w:r w:rsidRPr="00201EA3">
        <w:rPr>
          <w:rFonts w:eastAsia="Calibri"/>
          <w:lang w:eastAsia="en-US"/>
        </w:rPr>
        <w:t>gni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>cia zało</w:t>
      </w:r>
      <w:r w:rsidRPr="00201EA3">
        <w:rPr>
          <w:rFonts w:eastAsia="TimesNewRoman"/>
          <w:lang w:eastAsia="en-US"/>
        </w:rPr>
        <w:t>ż</w:t>
      </w:r>
      <w:r w:rsidRPr="00201EA3">
        <w:rPr>
          <w:rFonts w:eastAsia="Calibri"/>
          <w:lang w:eastAsia="en-US"/>
        </w:rPr>
        <w:t>onych w programie efektów uczenia si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 xml:space="preserve">. </w:t>
      </w:r>
      <w:r w:rsidRPr="00201EA3">
        <w:rPr>
          <w:rFonts w:eastAsia="Calibri"/>
          <w:bCs/>
          <w:lang w:eastAsia="en-US"/>
        </w:rPr>
        <w:t>Efekty uczenia si</w:t>
      </w:r>
      <w:r w:rsidRPr="00201EA3">
        <w:rPr>
          <w:rFonts w:eastAsia="TimesNewRoman,Bold"/>
          <w:bCs/>
          <w:lang w:eastAsia="en-US"/>
        </w:rPr>
        <w:t xml:space="preserve">ę </w:t>
      </w:r>
      <w:r w:rsidRPr="00201EA3">
        <w:rPr>
          <w:rFonts w:eastAsia="Calibri"/>
          <w:lang w:eastAsia="en-US"/>
        </w:rPr>
        <w:t>okre</w:t>
      </w:r>
      <w:r w:rsidRPr="00201EA3">
        <w:rPr>
          <w:rFonts w:eastAsia="TimesNewRoman"/>
          <w:lang w:eastAsia="en-US"/>
        </w:rPr>
        <w:t>ś</w:t>
      </w:r>
      <w:r w:rsidRPr="00201EA3">
        <w:rPr>
          <w:rFonts w:eastAsia="Calibri"/>
          <w:lang w:eastAsia="en-US"/>
        </w:rPr>
        <w:t>laj</w:t>
      </w:r>
      <w:r w:rsidRPr="00201EA3">
        <w:rPr>
          <w:rFonts w:eastAsia="TimesNewRoman"/>
          <w:lang w:eastAsia="en-US"/>
        </w:rPr>
        <w:t>ą</w:t>
      </w:r>
      <w:r w:rsidRPr="00201EA3">
        <w:rPr>
          <w:rFonts w:eastAsia="Calibri"/>
          <w:lang w:eastAsia="en-US"/>
        </w:rPr>
        <w:t>, co student powinien wiedzie</w:t>
      </w:r>
      <w:r w:rsidRPr="00201EA3">
        <w:rPr>
          <w:rFonts w:eastAsia="TimesNewRoman"/>
          <w:lang w:eastAsia="en-US"/>
        </w:rPr>
        <w:t>ć</w:t>
      </w:r>
      <w:r w:rsidRPr="00201EA3">
        <w:rPr>
          <w:rFonts w:eastAsia="Calibri"/>
          <w:lang w:eastAsia="en-US"/>
        </w:rPr>
        <w:t>, rozumie</w:t>
      </w:r>
      <w:r w:rsidRPr="00201EA3">
        <w:rPr>
          <w:rFonts w:eastAsia="TimesNewRoman"/>
          <w:lang w:eastAsia="en-US"/>
        </w:rPr>
        <w:t xml:space="preserve">ć </w:t>
      </w:r>
      <w:r w:rsidRPr="00201EA3">
        <w:rPr>
          <w:rFonts w:eastAsia="Calibri"/>
          <w:lang w:eastAsia="en-US"/>
        </w:rPr>
        <w:t>i potrafi</w:t>
      </w:r>
      <w:r w:rsidRPr="00201EA3">
        <w:rPr>
          <w:rFonts w:eastAsia="TimesNewRoman"/>
          <w:lang w:eastAsia="en-US"/>
        </w:rPr>
        <w:t xml:space="preserve">ć </w:t>
      </w:r>
      <w:r w:rsidRPr="00201EA3">
        <w:rPr>
          <w:rFonts w:eastAsia="Calibri"/>
          <w:lang w:eastAsia="en-US"/>
        </w:rPr>
        <w:t>zrobi</w:t>
      </w:r>
      <w:r w:rsidRPr="00201EA3">
        <w:rPr>
          <w:rFonts w:eastAsia="TimesNewRoman"/>
          <w:lang w:eastAsia="en-US"/>
        </w:rPr>
        <w:t xml:space="preserve">ć </w:t>
      </w:r>
      <w:r w:rsidRPr="00201EA3">
        <w:rPr>
          <w:rFonts w:eastAsia="Calibri"/>
          <w:lang w:eastAsia="en-US"/>
        </w:rPr>
        <w:t>po pomy</w:t>
      </w:r>
      <w:r w:rsidRPr="00201EA3">
        <w:rPr>
          <w:rFonts w:eastAsia="TimesNewRoman"/>
          <w:lang w:eastAsia="en-US"/>
        </w:rPr>
        <w:t>ś</w:t>
      </w:r>
      <w:r w:rsidRPr="00201EA3">
        <w:rPr>
          <w:rFonts w:eastAsia="Calibri"/>
          <w:lang w:eastAsia="en-US"/>
        </w:rPr>
        <w:t>lnym zako</w:t>
      </w:r>
      <w:r w:rsidRPr="00201EA3">
        <w:rPr>
          <w:rFonts w:eastAsia="TimesNewRoman"/>
          <w:lang w:eastAsia="en-US"/>
        </w:rPr>
        <w:t>ń</w:t>
      </w:r>
      <w:r w:rsidRPr="00201EA3">
        <w:rPr>
          <w:rFonts w:eastAsia="Calibri"/>
          <w:lang w:eastAsia="en-US"/>
        </w:rPr>
        <w:t xml:space="preserve">czeniu procesu kształcenia. </w:t>
      </w:r>
    </w:p>
    <w:p w:rsidR="00201EA3" w:rsidRPr="00201EA3" w:rsidRDefault="00201EA3" w:rsidP="00201EA3">
      <w:pPr>
        <w:pStyle w:val="Tekstgwnyraportu"/>
        <w:spacing w:after="0"/>
        <w:ind w:firstLine="360"/>
        <w:rPr>
          <w:rFonts w:eastAsia="Calibri"/>
          <w:lang w:eastAsia="en-US"/>
        </w:rPr>
      </w:pPr>
    </w:p>
    <w:p w:rsidR="00201EA3" w:rsidRPr="00201EA3" w:rsidRDefault="00201EA3" w:rsidP="00201EA3">
      <w:pPr>
        <w:pStyle w:val="Tekstgwnyraportu"/>
        <w:spacing w:after="0"/>
        <w:rPr>
          <w:rFonts w:eastAsia="Calibri"/>
        </w:rPr>
      </w:pPr>
      <w:r w:rsidRPr="00201EA3">
        <w:rPr>
          <w:rFonts w:eastAsia="Calibri"/>
          <w:b/>
          <w:bCs/>
        </w:rPr>
        <w:tab/>
      </w:r>
      <w:r w:rsidRPr="00201EA3">
        <w:rPr>
          <w:rFonts w:eastAsia="Calibri"/>
          <w:bCs/>
          <w:u w:val="single"/>
        </w:rPr>
        <w:t>Nakład pracy</w:t>
      </w:r>
      <w:r w:rsidRPr="00201EA3">
        <w:rPr>
          <w:rFonts w:eastAsia="Calibri"/>
          <w:b/>
          <w:bCs/>
        </w:rPr>
        <w:t xml:space="preserve"> </w:t>
      </w:r>
      <w:r w:rsidRPr="00201EA3">
        <w:rPr>
          <w:rFonts w:eastAsia="Calibri"/>
        </w:rPr>
        <w:t>okre</w:t>
      </w:r>
      <w:r w:rsidRPr="00201EA3">
        <w:rPr>
          <w:rFonts w:eastAsia="TimesNewRoman"/>
        </w:rPr>
        <w:t>ś</w:t>
      </w:r>
      <w:r w:rsidRPr="00201EA3">
        <w:rPr>
          <w:rFonts w:eastAsia="Calibri"/>
        </w:rPr>
        <w:t>la czas, jakiego przeci</w:t>
      </w:r>
      <w:r w:rsidRPr="00201EA3">
        <w:rPr>
          <w:rFonts w:eastAsia="TimesNewRoman"/>
        </w:rPr>
        <w:t>ę</w:t>
      </w:r>
      <w:r w:rsidRPr="00201EA3">
        <w:rPr>
          <w:rFonts w:eastAsia="Calibri"/>
        </w:rPr>
        <w:t>tny student potrzebuje, aby zaliczy</w:t>
      </w:r>
      <w:r w:rsidRPr="00201EA3">
        <w:rPr>
          <w:rFonts w:eastAsia="TimesNewRoman"/>
        </w:rPr>
        <w:t xml:space="preserve">ć </w:t>
      </w:r>
      <w:r w:rsidRPr="00201EA3">
        <w:rPr>
          <w:rFonts w:eastAsia="Calibri"/>
        </w:rPr>
        <w:t>wszystkie zaj</w:t>
      </w:r>
      <w:r w:rsidRPr="00201EA3">
        <w:rPr>
          <w:rFonts w:eastAsia="TimesNewRoman"/>
        </w:rPr>
        <w:t>ę</w:t>
      </w:r>
      <w:r w:rsidRPr="00201EA3">
        <w:rPr>
          <w:rFonts w:eastAsia="Calibri"/>
        </w:rPr>
        <w:t>cia uj</w:t>
      </w:r>
      <w:r w:rsidRPr="00201EA3">
        <w:rPr>
          <w:rFonts w:eastAsia="TimesNewRoman"/>
        </w:rPr>
        <w:t>ę</w:t>
      </w:r>
      <w:r w:rsidRPr="00201EA3">
        <w:rPr>
          <w:rFonts w:eastAsia="Calibri"/>
        </w:rPr>
        <w:t>te w programie studiów i harmonogramie realizacji programu studiów (takie jak wykłady, seminaria, projekty, zaj</w:t>
      </w:r>
      <w:r w:rsidRPr="00201EA3">
        <w:rPr>
          <w:rFonts w:eastAsia="TimesNewRoman"/>
        </w:rPr>
        <w:t>ę</w:t>
      </w:r>
      <w:r w:rsidRPr="00201EA3">
        <w:rPr>
          <w:rFonts w:eastAsia="Calibri"/>
        </w:rPr>
        <w:t>cia praktyczne, samodzielna nauka i egzaminy) oraz uzyska</w:t>
      </w:r>
      <w:r w:rsidRPr="00201EA3">
        <w:rPr>
          <w:rFonts w:eastAsia="TimesNewRoman"/>
        </w:rPr>
        <w:t xml:space="preserve">ć </w:t>
      </w:r>
      <w:r w:rsidRPr="00201EA3">
        <w:rPr>
          <w:rFonts w:eastAsia="Calibri"/>
        </w:rPr>
        <w:t>założone dla programu efekty uczenia si</w:t>
      </w:r>
      <w:r w:rsidRPr="00201EA3">
        <w:rPr>
          <w:rFonts w:eastAsia="TimesNewRoman"/>
        </w:rPr>
        <w:t>ę</w:t>
      </w:r>
      <w:r w:rsidRPr="00201EA3">
        <w:rPr>
          <w:rFonts w:eastAsia="Calibri"/>
        </w:rPr>
        <w:t xml:space="preserve">. </w:t>
      </w:r>
    </w:p>
    <w:p w:rsidR="00201EA3" w:rsidRPr="00201EA3" w:rsidRDefault="00201EA3" w:rsidP="00201EA3">
      <w:pPr>
        <w:pStyle w:val="Tekstgwnyraportu"/>
        <w:spacing w:after="0"/>
        <w:rPr>
          <w:rFonts w:eastAsia="Calibri"/>
        </w:rPr>
      </w:pPr>
    </w:p>
    <w:p w:rsidR="00201EA3" w:rsidRPr="00201EA3" w:rsidRDefault="00201EA3" w:rsidP="00DB1731">
      <w:pPr>
        <w:pStyle w:val="Tekstgwnyraportu"/>
        <w:spacing w:after="0"/>
        <w:ind w:firstLine="708"/>
        <w:rPr>
          <w:rFonts w:eastAsia="Calibri"/>
        </w:rPr>
      </w:pPr>
      <w:r w:rsidRPr="00201EA3">
        <w:rPr>
          <w:rFonts w:eastAsia="Calibri"/>
        </w:rPr>
        <w:t>Nakład pracy studenta wskazuje na łączną liczbę godzin pracy przeciętnego studenta niezbędną dla osiągnięcia zakładanych efektów uczenia się. Obejmuje godziny pracy</w:t>
      </w:r>
      <w:r w:rsidRPr="00201EA3">
        <w:rPr>
          <w:rStyle w:val="lineBreakStyle"/>
          <w:rFonts w:eastAsia="Calibri"/>
        </w:rPr>
        <w:br/>
      </w:r>
      <w:r w:rsidR="00DB1731">
        <w:rPr>
          <w:rFonts w:eastAsia="Calibri"/>
        </w:rPr>
        <w:t>w u</w:t>
      </w:r>
      <w:r w:rsidRPr="00201EA3">
        <w:rPr>
          <w:rFonts w:eastAsia="Calibri"/>
        </w:rPr>
        <w:t>czelni przewidziane harmonogramem zajęć,</w:t>
      </w:r>
      <w:r w:rsidR="00DB1731">
        <w:rPr>
          <w:rFonts w:eastAsia="Calibri"/>
        </w:rPr>
        <w:t xml:space="preserve"> indywidualną pracę studenta w u</w:t>
      </w:r>
      <w:r w:rsidRPr="00201EA3">
        <w:rPr>
          <w:rFonts w:eastAsia="Calibri"/>
        </w:rPr>
        <w:t>czelni i poza nią, tak w czasie zajęć, jak i przygotowania się do zajęć oraz do egzaminów. Do powyższego doliczany jest czas poświęcony na egzaminy i inne formy zaliczania zajęć. Z uwagi na fakt, iż bierze się pod uwagę przeciętnego studenta,</w:t>
      </w:r>
      <w:r w:rsidRPr="00201EA3">
        <w:rPr>
          <w:rStyle w:val="lineBreakStyle"/>
          <w:rFonts w:eastAsia="Calibri"/>
        </w:rPr>
        <w:t xml:space="preserve"> należy </w:t>
      </w:r>
      <w:r w:rsidRPr="00201EA3">
        <w:rPr>
          <w:rFonts w:eastAsia="Calibri"/>
        </w:rPr>
        <w:t>uwzględnić także przeciętny czas niezbędny do dodatkowego przygotowania się do sesji i egzaminów poprawkowych. Ponadto rozpatrywany jest czas, jaki student musi poświęcić na pełne przygotowanie się do aktywnego uczestnictwa w zajęciach, w każdej dozw</w:t>
      </w:r>
      <w:r w:rsidR="00DB1731">
        <w:rPr>
          <w:rFonts w:eastAsia="Calibri"/>
        </w:rPr>
        <w:t>olonej ustanowionej przez ANSM</w:t>
      </w:r>
      <w:r w:rsidRPr="00201EA3">
        <w:rPr>
          <w:rFonts w:eastAsia="Calibri"/>
        </w:rPr>
        <w:t xml:space="preserve"> formie.</w:t>
      </w:r>
    </w:p>
    <w:p w:rsidR="00201EA3" w:rsidRPr="00201EA3" w:rsidRDefault="00201EA3" w:rsidP="00201EA3">
      <w:pPr>
        <w:pStyle w:val="Tekstgwnyraportu"/>
        <w:spacing w:after="0"/>
        <w:ind w:firstLine="708"/>
        <w:rPr>
          <w:rFonts w:eastAsia="Calibri"/>
        </w:rPr>
      </w:pPr>
    </w:p>
    <w:p w:rsidR="00201EA3" w:rsidRPr="00201EA3" w:rsidRDefault="00201EA3" w:rsidP="00201EA3">
      <w:pPr>
        <w:pStyle w:val="Tekstgwnyraportu"/>
        <w:spacing w:after="0"/>
        <w:rPr>
          <w:rFonts w:eastAsia="Calibri"/>
          <w:lang w:eastAsia="en-US"/>
        </w:rPr>
      </w:pPr>
      <w:r w:rsidRPr="00201EA3">
        <w:rPr>
          <w:rFonts w:eastAsia="Calibri"/>
          <w:lang w:eastAsia="en-US"/>
        </w:rPr>
        <w:tab/>
        <w:t>Czyniąc założenie, że nakład pracy dotyczy przeciętnego studenta zauważono, że ponadprzeciętnie zdolny student nie będzie potrzebował tak dużo założonego czasu.</w:t>
      </w:r>
      <w:r w:rsidRPr="00201EA3">
        <w:rPr>
          <w:rFonts w:eastAsia="Calibri"/>
          <w:lang w:eastAsia="en-US"/>
        </w:rPr>
        <w:br/>
        <w:t>W związku z czym pozostały wolny czas może efektywnie wykorzystać na dodatkowe formy aktywności/uczenia się własnego rozwoju (np. udział w bada</w:t>
      </w:r>
      <w:r w:rsidR="00DB1731">
        <w:rPr>
          <w:rFonts w:eastAsia="Calibri"/>
          <w:lang w:eastAsia="en-US"/>
        </w:rPr>
        <w:t>niach naukowych prowadzonych w u</w:t>
      </w:r>
      <w:r w:rsidRPr="00201EA3">
        <w:rPr>
          <w:rFonts w:eastAsia="Calibri"/>
          <w:lang w:eastAsia="en-US"/>
        </w:rPr>
        <w:t>czelni, udział w konferencjach naukowych</w:t>
      </w:r>
      <w:r w:rsidR="00DB1731">
        <w:rPr>
          <w:rFonts w:eastAsia="Calibri"/>
          <w:lang w:eastAsia="en-US"/>
        </w:rPr>
        <w:t xml:space="preserve"> oraz wykładach otwartych</w:t>
      </w:r>
      <w:r w:rsidRPr="00201EA3">
        <w:rPr>
          <w:rFonts w:eastAsia="Calibri"/>
          <w:lang w:eastAsia="en-US"/>
        </w:rPr>
        <w:t xml:space="preserve">). </w:t>
      </w:r>
    </w:p>
    <w:p w:rsidR="00201EA3" w:rsidRPr="00201EA3" w:rsidRDefault="00201EA3" w:rsidP="00201EA3">
      <w:pPr>
        <w:pStyle w:val="Tekstgwnyraportu"/>
        <w:spacing w:after="0"/>
        <w:ind w:firstLine="708"/>
        <w:rPr>
          <w:rFonts w:eastAsia="Calibri"/>
          <w:lang w:eastAsia="en-US"/>
        </w:rPr>
      </w:pPr>
    </w:p>
    <w:p w:rsidR="00201EA3" w:rsidRPr="00201EA3" w:rsidRDefault="00201EA3" w:rsidP="00201EA3">
      <w:pPr>
        <w:pStyle w:val="Tekstgwnyraportu"/>
        <w:spacing w:after="0"/>
        <w:rPr>
          <w:rFonts w:eastAsia="Calibri"/>
          <w:lang w:eastAsia="en-US"/>
        </w:rPr>
      </w:pPr>
      <w:r w:rsidRPr="00201EA3">
        <w:rPr>
          <w:rFonts w:eastAsia="Calibri"/>
          <w:lang w:eastAsia="en-US"/>
        </w:rPr>
        <w:tab/>
        <w:t xml:space="preserve">Prowadzący mają na względzie fakt, że niezależnie od formy studiów (stacjonarna, niestacjonarna) efekt uczenia się musi pozostać ten sam. Oznacza to, że przy mniejszej liczbie </w:t>
      </w:r>
      <w:r w:rsidR="00DB1731">
        <w:rPr>
          <w:rFonts w:eastAsia="Calibri"/>
          <w:lang w:eastAsia="en-US"/>
        </w:rPr>
        <w:t>zajęć realizowanych w u</w:t>
      </w:r>
      <w:r w:rsidRPr="00201EA3">
        <w:rPr>
          <w:rFonts w:eastAsia="Calibri"/>
          <w:lang w:eastAsia="en-US"/>
        </w:rPr>
        <w:t>czelni student musi ponieść więcej nakładu pracy „własnej”, aby przygotować się do osiągnięcia wskazanych efektów uczenia się.</w:t>
      </w:r>
    </w:p>
    <w:p w:rsidR="00201EA3" w:rsidRPr="00201EA3" w:rsidRDefault="00201EA3" w:rsidP="00201EA3">
      <w:pPr>
        <w:pStyle w:val="Tekstgwnyraportu"/>
        <w:spacing w:after="0"/>
        <w:ind w:firstLine="708"/>
        <w:rPr>
          <w:rFonts w:eastAsia="Calibri"/>
          <w:lang w:eastAsia="en-US"/>
        </w:rPr>
      </w:pPr>
    </w:p>
    <w:p w:rsidR="00201EA3" w:rsidRDefault="00201EA3" w:rsidP="00DB17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lastRenderedPageBreak/>
        <w:t xml:space="preserve">W celu dokonania </w:t>
      </w:r>
      <w:r w:rsidRPr="00201EA3">
        <w:rPr>
          <w:rFonts w:ascii="Times New Roman" w:eastAsia="Calibri" w:hAnsi="Times New Roman"/>
          <w:sz w:val="24"/>
          <w:szCs w:val="24"/>
          <w:u w:val="single"/>
        </w:rPr>
        <w:t>wyceny pracy własnej studenta</w:t>
      </w:r>
      <w:r w:rsidRPr="00201EA3">
        <w:rPr>
          <w:rFonts w:ascii="Times New Roman" w:eastAsia="Calibri" w:hAnsi="Times New Roman"/>
          <w:sz w:val="24"/>
          <w:szCs w:val="24"/>
        </w:rPr>
        <w:t xml:space="preserve"> identyfikuje się:</w:t>
      </w:r>
    </w:p>
    <w:p w:rsidR="00DB1731" w:rsidRPr="00201EA3" w:rsidRDefault="00DB1731" w:rsidP="00201EA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:rsidR="00201EA3" w:rsidRPr="00201EA3" w:rsidRDefault="00201EA3" w:rsidP="00201E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t>wszystkie prace, jakie musi wykonać student, aby w pełnym zakresie osiągnąć założone efekty uczenia się,</w:t>
      </w:r>
    </w:p>
    <w:p w:rsidR="00201EA3" w:rsidRPr="00201EA3" w:rsidRDefault="00201EA3" w:rsidP="00201E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t>wiedzę, jaką musi posiadać student rozpoczynający kształcenie w danym obszarze,</w:t>
      </w:r>
    </w:p>
    <w:p w:rsidR="00201EA3" w:rsidRPr="00201EA3" w:rsidRDefault="00201EA3" w:rsidP="00201E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t>formę kształcenia, z uwzględnieniem warunku, że student aktywny zawodowo nie jest w stanie poświęcić na pracę własną więcej niż 20-30 godzin tygodniowo.</w:t>
      </w:r>
    </w:p>
    <w:p w:rsidR="00201EA3" w:rsidRPr="00201EA3" w:rsidRDefault="00201EA3" w:rsidP="00201EA3">
      <w:pPr>
        <w:pStyle w:val="Tekstgwnyraportu"/>
        <w:spacing w:after="0"/>
        <w:ind w:firstLine="360"/>
        <w:rPr>
          <w:rFonts w:eastAsia="Calibri"/>
          <w:lang w:eastAsia="en-US"/>
        </w:rPr>
      </w:pPr>
    </w:p>
    <w:p w:rsidR="00201EA3" w:rsidRPr="00201EA3" w:rsidRDefault="00201EA3" w:rsidP="00201EA3">
      <w:pPr>
        <w:pStyle w:val="Tekstgwnyraportu"/>
        <w:spacing w:after="0"/>
        <w:rPr>
          <w:rFonts w:eastAsia="Calibri"/>
          <w:lang w:eastAsia="en-US"/>
        </w:rPr>
      </w:pPr>
      <w:r w:rsidRPr="00201EA3">
        <w:rPr>
          <w:rFonts w:eastAsia="Calibri"/>
          <w:lang w:eastAsia="en-US"/>
        </w:rPr>
        <w:tab/>
        <w:t>Planując rozkład zajęć w harmonogramach realizacji programu studiów</w:t>
      </w:r>
      <w:r w:rsidR="00DB1731">
        <w:rPr>
          <w:rFonts w:eastAsia="Calibri"/>
          <w:lang w:eastAsia="en-US"/>
        </w:rPr>
        <w:t>,</w:t>
      </w:r>
      <w:r w:rsidRPr="00201EA3">
        <w:rPr>
          <w:rFonts w:eastAsia="Calibri"/>
          <w:lang w:eastAsia="en-US"/>
        </w:rPr>
        <w:t xml:space="preserve"> uwzględnia się równomierne obciążenie studenta w poszczególnych semestrach. </w:t>
      </w:r>
      <w:r w:rsidRPr="00201EA3">
        <w:rPr>
          <w:rFonts w:eastAsia="Calibri"/>
          <w:bCs/>
          <w:lang w:eastAsia="en-US"/>
        </w:rPr>
        <w:t xml:space="preserve">60 punktów ECTS </w:t>
      </w:r>
      <w:r w:rsidRPr="00201EA3">
        <w:rPr>
          <w:rFonts w:eastAsia="Calibri"/>
          <w:lang w:eastAsia="en-US"/>
        </w:rPr>
        <w:t>odpowiada rocznemu nakładowi pracy przeci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>tnego studenta studiów stacjonarnych i osi</w:t>
      </w:r>
      <w:r w:rsidRPr="00201EA3">
        <w:rPr>
          <w:rFonts w:eastAsia="TimesNewRoman"/>
          <w:lang w:eastAsia="en-US"/>
        </w:rPr>
        <w:t>ą</w:t>
      </w:r>
      <w:r w:rsidRPr="00201EA3">
        <w:rPr>
          <w:rFonts w:eastAsia="Calibri"/>
          <w:lang w:eastAsia="en-US"/>
        </w:rPr>
        <w:t>gni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>tym (w roku akademickim) efektom uczenia si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 xml:space="preserve">. </w:t>
      </w:r>
    </w:p>
    <w:p w:rsidR="00201EA3" w:rsidRPr="00201EA3" w:rsidRDefault="00201EA3" w:rsidP="00201EA3">
      <w:pPr>
        <w:pStyle w:val="Tekstgwnyraportu"/>
        <w:spacing w:after="0"/>
        <w:ind w:firstLine="360"/>
        <w:rPr>
          <w:rFonts w:eastAsia="Calibri"/>
          <w:lang w:eastAsia="en-US"/>
        </w:rPr>
      </w:pPr>
    </w:p>
    <w:p w:rsidR="00201EA3" w:rsidRPr="00201EA3" w:rsidRDefault="00201EA3" w:rsidP="00201EA3">
      <w:pPr>
        <w:pStyle w:val="Tekstgwnyraportu"/>
        <w:spacing w:after="0"/>
        <w:rPr>
          <w:rFonts w:eastAsia="Calibri"/>
          <w:lang w:eastAsia="en-US"/>
        </w:rPr>
      </w:pPr>
      <w:r w:rsidRPr="00201EA3">
        <w:rPr>
          <w:rFonts w:eastAsia="Calibri"/>
          <w:bCs/>
          <w:lang w:eastAsia="en-US"/>
        </w:rPr>
        <w:tab/>
        <w:t>Punkty ECTS s</w:t>
      </w:r>
      <w:r w:rsidRPr="00201EA3">
        <w:rPr>
          <w:rFonts w:eastAsia="TimesNewRoman,Bold"/>
          <w:bCs/>
          <w:lang w:eastAsia="en-US"/>
        </w:rPr>
        <w:t xml:space="preserve">ą </w:t>
      </w:r>
      <w:r w:rsidRPr="00201EA3">
        <w:rPr>
          <w:rFonts w:eastAsia="Calibri"/>
          <w:bCs/>
          <w:lang w:eastAsia="en-US"/>
        </w:rPr>
        <w:t xml:space="preserve">przypisywane do pełnego programu studiów, w tym do poszczególnych jego komponentów </w:t>
      </w:r>
      <w:r w:rsidRPr="00201EA3">
        <w:rPr>
          <w:rFonts w:eastAsia="Calibri"/>
          <w:lang w:eastAsia="en-US"/>
        </w:rPr>
        <w:t xml:space="preserve">(takich jak grupa zajęć, zajęcia, </w:t>
      </w:r>
      <w:r w:rsidR="00DB1731">
        <w:rPr>
          <w:rFonts w:eastAsia="Calibri"/>
          <w:lang w:eastAsia="en-US"/>
        </w:rPr>
        <w:t>egzamin dyplomowy</w:t>
      </w:r>
      <w:r w:rsidRPr="00201EA3">
        <w:rPr>
          <w:rFonts w:eastAsia="Calibri"/>
          <w:lang w:eastAsia="en-US"/>
        </w:rPr>
        <w:t xml:space="preserve">, praktyka zawodowa, </w:t>
      </w:r>
      <w:r w:rsidRPr="00201EA3">
        <w:rPr>
          <w:rFonts w:eastAsia="TimesNewRoman"/>
          <w:lang w:eastAsia="en-US"/>
        </w:rPr>
        <w:t>ć</w:t>
      </w:r>
      <w:r w:rsidRPr="00201EA3">
        <w:rPr>
          <w:rFonts w:eastAsia="Calibri"/>
          <w:lang w:eastAsia="en-US"/>
        </w:rPr>
        <w:t>wiczenia, konwersatoria</w:t>
      </w:r>
      <w:r w:rsidR="00DB1731">
        <w:rPr>
          <w:rFonts w:eastAsia="Calibri"/>
          <w:lang w:eastAsia="en-US"/>
        </w:rPr>
        <w:t>, itp.</w:t>
      </w:r>
      <w:r w:rsidRPr="00201EA3">
        <w:rPr>
          <w:rFonts w:eastAsia="Calibri"/>
          <w:bCs/>
          <w:lang w:eastAsia="en-US"/>
        </w:rPr>
        <w:t>)</w:t>
      </w:r>
      <w:r w:rsidRPr="00201EA3">
        <w:rPr>
          <w:rFonts w:eastAsia="Calibri"/>
          <w:lang w:eastAsia="en-US"/>
        </w:rPr>
        <w:t>. Liczba punktów przypisywana jest ka</w:t>
      </w:r>
      <w:r w:rsidRPr="00201EA3">
        <w:rPr>
          <w:rFonts w:eastAsia="TimesNewRoman"/>
          <w:lang w:eastAsia="en-US"/>
        </w:rPr>
        <w:t>ż</w:t>
      </w:r>
      <w:r w:rsidRPr="00201EA3">
        <w:rPr>
          <w:rFonts w:eastAsia="Calibri"/>
          <w:lang w:eastAsia="en-US"/>
        </w:rPr>
        <w:t>demu komponentowi w zale</w:t>
      </w:r>
      <w:r w:rsidRPr="00201EA3">
        <w:rPr>
          <w:rFonts w:eastAsia="TimesNewRoman"/>
          <w:lang w:eastAsia="en-US"/>
        </w:rPr>
        <w:t>ż</w:t>
      </w:r>
      <w:r w:rsidRPr="00201EA3">
        <w:rPr>
          <w:rFonts w:eastAsia="Calibri"/>
          <w:lang w:eastAsia="en-US"/>
        </w:rPr>
        <w:t>no</w:t>
      </w:r>
      <w:r w:rsidRPr="00201EA3">
        <w:rPr>
          <w:rFonts w:eastAsia="TimesNewRoman"/>
          <w:lang w:eastAsia="en-US"/>
        </w:rPr>
        <w:t>ś</w:t>
      </w:r>
      <w:r w:rsidRPr="00201EA3">
        <w:rPr>
          <w:rFonts w:eastAsia="Calibri"/>
          <w:lang w:eastAsia="en-US"/>
        </w:rPr>
        <w:t>ci od jego wagi wyra</w:t>
      </w:r>
      <w:r w:rsidRPr="00201EA3">
        <w:rPr>
          <w:rFonts w:eastAsia="TimesNewRoman"/>
          <w:lang w:eastAsia="en-US"/>
        </w:rPr>
        <w:t>ż</w:t>
      </w:r>
      <w:r w:rsidRPr="00201EA3">
        <w:rPr>
          <w:rFonts w:eastAsia="Calibri"/>
          <w:lang w:eastAsia="en-US"/>
        </w:rPr>
        <w:t>onej w kategoriach nakładu pracy potrzebnego do osi</w:t>
      </w:r>
      <w:r w:rsidRPr="00201EA3">
        <w:rPr>
          <w:rFonts w:eastAsia="TimesNewRoman"/>
          <w:lang w:eastAsia="en-US"/>
        </w:rPr>
        <w:t>ą</w:t>
      </w:r>
      <w:r w:rsidRPr="00201EA3">
        <w:rPr>
          <w:rFonts w:eastAsia="Calibri"/>
          <w:lang w:eastAsia="en-US"/>
        </w:rPr>
        <w:t>gni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>cia w warunkach kształcenia formalnego zało</w:t>
      </w:r>
      <w:r w:rsidRPr="00201EA3">
        <w:rPr>
          <w:rFonts w:eastAsia="TimesNewRoman"/>
          <w:lang w:eastAsia="en-US"/>
        </w:rPr>
        <w:t>ż</w:t>
      </w:r>
      <w:r w:rsidRPr="00201EA3">
        <w:rPr>
          <w:rFonts w:eastAsia="Calibri"/>
          <w:lang w:eastAsia="en-US"/>
        </w:rPr>
        <w:t>onych dla tego komponentu efektów uczenia si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>.</w:t>
      </w:r>
    </w:p>
    <w:p w:rsidR="00201EA3" w:rsidRPr="00201EA3" w:rsidRDefault="00201EA3" w:rsidP="00201EA3">
      <w:pPr>
        <w:pStyle w:val="Tekstgwnyraportu"/>
        <w:spacing w:after="0"/>
        <w:ind w:firstLine="708"/>
        <w:rPr>
          <w:rFonts w:eastAsia="Calibri"/>
          <w:lang w:eastAsia="en-US"/>
        </w:rPr>
      </w:pPr>
    </w:p>
    <w:p w:rsidR="00201EA3" w:rsidRPr="00201EA3" w:rsidRDefault="00201EA3" w:rsidP="00201EA3">
      <w:pPr>
        <w:pStyle w:val="Tekstgwnyraportu"/>
        <w:spacing w:after="0"/>
        <w:rPr>
          <w:rFonts w:eastAsia="Calibri"/>
          <w:lang w:eastAsia="en-US"/>
        </w:rPr>
      </w:pPr>
      <w:r w:rsidRPr="00201EA3">
        <w:rPr>
          <w:rFonts w:eastAsia="Calibri"/>
          <w:bCs/>
          <w:lang w:eastAsia="en-US"/>
        </w:rPr>
        <w:tab/>
        <w:t>Punkty s</w:t>
      </w:r>
      <w:r w:rsidRPr="00201EA3">
        <w:rPr>
          <w:rFonts w:eastAsia="TimesNewRoman,Bold"/>
          <w:bCs/>
          <w:lang w:eastAsia="en-US"/>
        </w:rPr>
        <w:t xml:space="preserve">ą </w:t>
      </w:r>
      <w:r w:rsidRPr="00201EA3">
        <w:rPr>
          <w:rFonts w:eastAsia="Calibri"/>
          <w:bCs/>
          <w:lang w:eastAsia="en-US"/>
        </w:rPr>
        <w:t xml:space="preserve">przyznawane studentom </w:t>
      </w:r>
      <w:r w:rsidRPr="00201EA3">
        <w:rPr>
          <w:rFonts w:eastAsia="Calibri"/>
          <w:lang w:eastAsia="en-US"/>
        </w:rPr>
        <w:t>po zaliczeniu zaj</w:t>
      </w:r>
      <w:r w:rsidRPr="00201EA3">
        <w:rPr>
          <w:rFonts w:eastAsia="TimesNewRoman"/>
          <w:lang w:eastAsia="en-US"/>
        </w:rPr>
        <w:t xml:space="preserve">ęć </w:t>
      </w:r>
      <w:r w:rsidRPr="00201EA3">
        <w:rPr>
          <w:rFonts w:eastAsia="Calibri"/>
          <w:lang w:eastAsia="en-US"/>
        </w:rPr>
        <w:t>uj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>tych w programie studiów lub pojedynczego komponentu programu studiów i uzyskaniu pozytywnej oceny osi</w:t>
      </w:r>
      <w:r w:rsidRPr="00201EA3">
        <w:rPr>
          <w:rFonts w:eastAsia="TimesNewRoman"/>
          <w:lang w:eastAsia="en-US"/>
        </w:rPr>
        <w:t>ą</w:t>
      </w:r>
      <w:r w:rsidRPr="00201EA3">
        <w:rPr>
          <w:rFonts w:eastAsia="Calibri"/>
          <w:lang w:eastAsia="en-US"/>
        </w:rPr>
        <w:t>gni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>tych efektów uczenia si</w:t>
      </w:r>
      <w:r w:rsidRPr="00201EA3">
        <w:rPr>
          <w:rFonts w:eastAsia="TimesNewRoman"/>
          <w:lang w:eastAsia="en-US"/>
        </w:rPr>
        <w:t>ę</w:t>
      </w:r>
      <w:r w:rsidRPr="00201EA3">
        <w:rPr>
          <w:rFonts w:eastAsia="Calibri"/>
          <w:lang w:eastAsia="en-US"/>
        </w:rPr>
        <w:t xml:space="preserve">. </w:t>
      </w:r>
    </w:p>
    <w:p w:rsidR="00201EA3" w:rsidRPr="00201EA3" w:rsidRDefault="00201EA3" w:rsidP="00201EA3">
      <w:pPr>
        <w:pStyle w:val="Tekstgwnyraportu"/>
        <w:spacing w:after="0"/>
        <w:ind w:firstLine="708"/>
        <w:rPr>
          <w:rFonts w:eastAsia="Calibri"/>
          <w:lang w:eastAsia="en-US"/>
        </w:rPr>
      </w:pPr>
    </w:p>
    <w:p w:rsidR="00201EA3" w:rsidRPr="00201EA3" w:rsidRDefault="00201EA3" w:rsidP="00201EA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eastAsia="Calibri" w:hAnsi="Times New Roman"/>
          <w:sz w:val="24"/>
          <w:szCs w:val="24"/>
        </w:rPr>
        <w:tab/>
        <w:t>Transfer punktów może się dokonać z jednego programu do drugiego, ale tylko wtedy, gdy właściwa jednostka/uprawniony organ uzna niniejsze punkty oraz związane z nimi efekty uczenia się.</w:t>
      </w:r>
    </w:p>
    <w:p w:rsidR="00201EA3" w:rsidRPr="00201EA3" w:rsidRDefault="00201EA3" w:rsidP="00201EA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EA3" w:rsidRPr="00201EA3" w:rsidRDefault="00201EA3" w:rsidP="00201EA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01EA3">
        <w:rPr>
          <w:rFonts w:ascii="Times New Roman" w:hAnsi="Times New Roman"/>
          <w:sz w:val="24"/>
          <w:szCs w:val="24"/>
        </w:rPr>
        <w:tab/>
      </w:r>
      <w:r w:rsidR="0016053F">
        <w:rPr>
          <w:rFonts w:ascii="Times New Roman" w:eastAsia="Calibri" w:hAnsi="Times New Roman"/>
          <w:sz w:val="24"/>
          <w:szCs w:val="24"/>
        </w:rPr>
        <w:t>S</w:t>
      </w:r>
      <w:r w:rsidRPr="00201EA3">
        <w:rPr>
          <w:rFonts w:ascii="Times New Roman" w:eastAsia="Calibri" w:hAnsi="Times New Roman"/>
          <w:sz w:val="24"/>
          <w:szCs w:val="24"/>
        </w:rPr>
        <w:t xml:space="preserve">tudent zobowiązany jest zdobyć co najmniej 60 punktów ECTS w ciągu roku akademickiego, tj. co najmniej 30 punktów ECTS na semestr roku. System punktów zaliczeniowych stosowany w </w:t>
      </w:r>
      <w:r w:rsidR="00DB1731">
        <w:rPr>
          <w:rFonts w:ascii="Times New Roman" w:eastAsia="Calibri" w:hAnsi="Times New Roman"/>
          <w:sz w:val="24"/>
          <w:szCs w:val="24"/>
        </w:rPr>
        <w:t xml:space="preserve">ANSM </w:t>
      </w:r>
      <w:r w:rsidRPr="00201EA3">
        <w:rPr>
          <w:rFonts w:ascii="Times New Roman" w:eastAsia="Calibri" w:hAnsi="Times New Roman"/>
          <w:sz w:val="24"/>
          <w:szCs w:val="24"/>
        </w:rPr>
        <w:t xml:space="preserve">jest zgodny ze wskazówkami zawartymi w Przewodniku Europejskim ‒ System Transferu i Akumulacji Punktów, opracowanym przez Fundację Rozwoju Systemu Edukacji. Punkty ECTS, które są przyporządkowane poszczególnym zajęciom (wykłady, ćwiczenia, praca własna w domu lub bibliotece), określają nakład pracy </w:t>
      </w:r>
      <w:r w:rsidRPr="00201EA3">
        <w:rPr>
          <w:rFonts w:ascii="Times New Roman" w:eastAsia="Calibri" w:hAnsi="Times New Roman"/>
          <w:sz w:val="24"/>
          <w:szCs w:val="24"/>
        </w:rPr>
        <w:lastRenderedPageBreak/>
        <w:t xml:space="preserve">studenta, jaki musi ponieść, aby uzyskać zaliczenie danych zajęć w stosunku do nakładu pracy niezbędnego do zaliczenia semestru. W </w:t>
      </w:r>
      <w:r w:rsidR="00DB1731">
        <w:rPr>
          <w:rFonts w:ascii="Times New Roman" w:eastAsia="Calibri" w:hAnsi="Times New Roman"/>
          <w:sz w:val="24"/>
          <w:szCs w:val="24"/>
        </w:rPr>
        <w:t xml:space="preserve">ANSM </w:t>
      </w:r>
      <w:r w:rsidRPr="00201EA3">
        <w:rPr>
          <w:rFonts w:ascii="Times New Roman" w:eastAsia="Calibri" w:hAnsi="Times New Roman"/>
          <w:sz w:val="24"/>
          <w:szCs w:val="24"/>
        </w:rPr>
        <w:t xml:space="preserve">uzyskanie przez studenta odpowiedniej liczby punktów kredytowych daje podstawę do zaliczenia semestru (roku) studiów. </w:t>
      </w:r>
    </w:p>
    <w:p w:rsidR="0082781E" w:rsidRPr="0082781E" w:rsidRDefault="0082781E" w:rsidP="00201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81E" w:rsidRPr="0082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56E"/>
    <w:multiLevelType w:val="hybridMultilevel"/>
    <w:tmpl w:val="58788B34"/>
    <w:lvl w:ilvl="0" w:tplc="DF86CD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82EA4"/>
    <w:multiLevelType w:val="hybridMultilevel"/>
    <w:tmpl w:val="362204AE"/>
    <w:lvl w:ilvl="0" w:tplc="C9FEB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B323BE"/>
    <w:multiLevelType w:val="hybridMultilevel"/>
    <w:tmpl w:val="4A90D4E4"/>
    <w:lvl w:ilvl="0" w:tplc="ED1AB47E">
      <w:start w:val="1"/>
      <w:numFmt w:val="lowerLetter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C02D4"/>
    <w:multiLevelType w:val="hybridMultilevel"/>
    <w:tmpl w:val="39027E6E"/>
    <w:lvl w:ilvl="0" w:tplc="E9AE6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7B"/>
    <w:rsid w:val="0016053F"/>
    <w:rsid w:val="001F16DE"/>
    <w:rsid w:val="00200ED6"/>
    <w:rsid w:val="00201EA3"/>
    <w:rsid w:val="00545A7B"/>
    <w:rsid w:val="006B637C"/>
    <w:rsid w:val="00762F36"/>
    <w:rsid w:val="0082781E"/>
    <w:rsid w:val="00D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01EA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E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gwnyraportu">
    <w:name w:val="Tekst główny raportu"/>
    <w:qFormat/>
    <w:rsid w:val="00201EA3"/>
    <w:pPr>
      <w:keepLine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BreakStyle">
    <w:name w:val="lineBreakStyle"/>
    <w:rsid w:val="00201EA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6053F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01EA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E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gwnyraportu">
    <w:name w:val="Tekst główny raportu"/>
    <w:qFormat/>
    <w:rsid w:val="00201EA3"/>
    <w:pPr>
      <w:keepLine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BreakStyle">
    <w:name w:val="lineBreakStyle"/>
    <w:rsid w:val="00201EA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6053F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2023-01-20T10:14:00Z</dcterms:created>
  <dcterms:modified xsi:type="dcterms:W3CDTF">2023-01-24T13:07:00Z</dcterms:modified>
</cp:coreProperties>
</file>